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DE" w:rsidRDefault="006813DE">
      <w:pPr>
        <w:pStyle w:val="a5"/>
        <w:shd w:val="clear" w:color="auto" w:fill="FFFFFF"/>
        <w:jc w:val="center"/>
        <w:rPr>
          <w:rStyle w:val="a6"/>
          <w:rFonts w:ascii="黑体" w:eastAsia="黑体" w:hAnsi="黑体"/>
          <w:sz w:val="44"/>
          <w:szCs w:val="44"/>
        </w:rPr>
      </w:pPr>
    </w:p>
    <w:p w:rsidR="006813DE" w:rsidRDefault="00015ACD">
      <w:pPr>
        <w:pStyle w:val="a5"/>
        <w:shd w:val="clear" w:color="auto" w:fill="FFFFFF"/>
        <w:jc w:val="center"/>
      </w:pPr>
      <w:r>
        <w:rPr>
          <w:rStyle w:val="a6"/>
          <w:rFonts w:ascii="黑体" w:eastAsia="黑体" w:hAnsi="黑体" w:hint="eastAsia"/>
          <w:sz w:val="44"/>
          <w:szCs w:val="44"/>
        </w:rPr>
        <w:t>温州市综合行政执法局（汇总）2018年度部门决算</w:t>
      </w:r>
    </w:p>
    <w:p w:rsidR="006813DE" w:rsidRDefault="006813DE">
      <w:pPr>
        <w:pStyle w:val="a5"/>
        <w:shd w:val="clear" w:color="auto" w:fill="FFFFFF"/>
      </w:pPr>
    </w:p>
    <w:p w:rsidR="006813DE" w:rsidRDefault="00015ACD">
      <w:pPr>
        <w:shd w:val="clear" w:color="auto" w:fill="FFFFFF"/>
        <w:spacing w:line="600" w:lineRule="atLeast"/>
        <w:ind w:firstLine="640"/>
        <w:jc w:val="both"/>
      </w:pPr>
      <w:r>
        <w:rPr>
          <w:rStyle w:val="a6"/>
          <w:rFonts w:ascii="黑体" w:eastAsia="黑体" w:hAnsi="黑体" w:cs="Arial" w:hint="eastAsia"/>
          <w:b w:val="0"/>
          <w:bCs w:val="0"/>
          <w:sz w:val="32"/>
          <w:szCs w:val="32"/>
        </w:rPr>
        <w:t>一、温州市综合行政执法局（汇总）概况</w:t>
      </w:r>
    </w:p>
    <w:p w:rsidR="006813DE" w:rsidRDefault="00015ACD">
      <w:pPr>
        <w:shd w:val="clear" w:color="auto" w:fill="FFFFFF"/>
        <w:spacing w:line="600" w:lineRule="atLeast"/>
        <w:ind w:firstLine="640"/>
        <w:jc w:val="both"/>
      </w:pPr>
      <w:r>
        <w:rPr>
          <w:rStyle w:val="a6"/>
          <w:rFonts w:ascii="楷体" w:eastAsia="楷体" w:hAnsi="楷体" w:cs="Arial" w:hint="eastAsia"/>
          <w:b w:val="0"/>
          <w:bCs w:val="0"/>
          <w:sz w:val="32"/>
          <w:szCs w:val="32"/>
        </w:rPr>
        <w:t>（一）部门职责</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市综合行政执法局是主管全市综合行政执法和城市管理工作的市政府工作部门，其主要职责是：对全市城市管理与综合执法工作进行宏观决策、重点管理、综合协调、监督检查。</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1.宣传贯彻执行国家和省市关于市容环卫、市政公用、园林绿化的法律、法规、方针、政策，治理和维护城市管理秩序；组织起草有关综合行政执法和城市管理方面的规范性文件和管理标准，并组织实施。</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2.负责编制城市管理发展战略和年度计划，并组织实施。会同城乡规划主管部门编制城市市容环卫、市政公用、园林绿化等各项专业规划，参与城市建设项目设计方案、初步设计的审查。</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3.负责组织指导、统筹协调、监督检查、综合考评全市城市管理与综合行政执法工作；指导各县（市、区）政府城市管理与综合执行执法工作。</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4.负责市区市容环卫、市政公用、园林绿化等基础设施的管理和有关的行政许可；会同财政部门编制城市管理维护和行政执法经费年度计划，并组织实施和监管使用；负责全市市容环卫、市政公用、园林绿化业务指导；负责城市节约用水工作。</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5.负责行使市容环境卫生、城乡规划、园林绿化、市政公用等21个方面的法律、法规、规章规定的全部或部分行政处罚及相关行政监督检查、行政强制权。</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6.负责组织开展全市性城市管理重大执法活动和专项活动。</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7.负责全市综合行政执法人员的教育培训工作；协助有关部门做好统计年报工作。</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8.负责受理城市管理与行政执法中的投诉、应诉和行政复议工作。</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9.负责编制数字城管的总体规划、近期计划与远期计划；负责发现、收集和处置城市管理问题；监督相关部门、各县（市、区）政府解决城市管理问题的情况。</w:t>
      </w:r>
    </w:p>
    <w:p w:rsidR="006813DE" w:rsidRDefault="00015ACD">
      <w:p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10.组织、协调城区防汛、抗台工作，负责城市管理中各类突发事件的应急指挥和组织处置工作。</w:t>
      </w:r>
    </w:p>
    <w:p w:rsidR="006813DE" w:rsidRDefault="00015ACD">
      <w:pPr>
        <w:shd w:val="clear" w:color="auto" w:fill="FFFFFF"/>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11、承担市城市管理委员会办公室的日常工作。</w:t>
      </w:r>
    </w:p>
    <w:p w:rsidR="006813DE" w:rsidRDefault="00015ACD">
      <w:pPr>
        <w:shd w:val="clear" w:color="auto" w:fill="FFFFFF"/>
        <w:spacing w:line="600" w:lineRule="atLeast"/>
        <w:ind w:firstLine="640"/>
        <w:jc w:val="both"/>
      </w:pPr>
      <w:r>
        <w:rPr>
          <w:rFonts w:ascii="仿宋" w:eastAsia="仿宋" w:hAnsi="仿宋" w:cs="仿宋" w:hint="eastAsia"/>
          <w:sz w:val="32"/>
          <w:szCs w:val="32"/>
          <w:shd w:val="clear" w:color="auto" w:fill="FFFFFF"/>
        </w:rPr>
        <w:t>12、承办市委、市政府交办的其他事项。</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（二）机构设置</w:t>
      </w:r>
    </w:p>
    <w:p w:rsidR="006813DE" w:rsidRDefault="00015ACD">
      <w:pPr>
        <w:shd w:val="clear" w:color="auto" w:fill="FFFFFF"/>
        <w:spacing w:line="600" w:lineRule="atLeast"/>
        <w:ind w:firstLine="640"/>
        <w:jc w:val="both"/>
      </w:pPr>
      <w:r>
        <w:rPr>
          <w:rFonts w:ascii="仿宋" w:eastAsia="仿宋" w:hAnsi="仿宋" w:cs="Arial" w:hint="eastAsia"/>
          <w:sz w:val="32"/>
          <w:szCs w:val="32"/>
        </w:rPr>
        <w:lastRenderedPageBreak/>
        <w:t>从预算单位构成看，温州市综合行政执法局（汇总）部门决算包括：</w:t>
      </w:r>
      <w:r>
        <w:rPr>
          <w:rFonts w:ascii="仿宋" w:eastAsia="仿宋" w:hAnsi="仿宋" w:cs="仿宋" w:hint="eastAsia"/>
          <w:sz w:val="32"/>
          <w:szCs w:val="32"/>
          <w:shd w:val="clear" w:color="auto" w:fill="FFFFFF"/>
        </w:rPr>
        <w:t>本级决算及</w:t>
      </w:r>
      <w:r>
        <w:rPr>
          <w:rFonts w:ascii="仿宋" w:eastAsia="仿宋" w:hAnsi="仿宋" w:cs="Arial" w:hint="eastAsia"/>
          <w:sz w:val="32"/>
          <w:szCs w:val="32"/>
        </w:rPr>
        <w:t>纳入温州市综合行政执法局（汇总）2018年度部门决算编制范围的二级预算单位包括：</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温州市园林局</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温州市公园管理处</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温州市景山森林公园管理处</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温州市园林绿化养护大队</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温州市环境卫生管理处</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温州市市政管理处</w:t>
      </w:r>
    </w:p>
    <w:p w:rsidR="006813DE" w:rsidRDefault="00015ACD">
      <w:pPr>
        <w:numPr>
          <w:ilvl w:val="0"/>
          <w:numId w:val="1"/>
        </w:numPr>
        <w:spacing w:line="60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温州市建筑渣土消纳管理办公室</w:t>
      </w:r>
    </w:p>
    <w:p w:rsidR="006813DE" w:rsidRDefault="00015ACD">
      <w:pPr>
        <w:spacing w:line="600" w:lineRule="atLeast"/>
        <w:ind w:left="640"/>
        <w:jc w:val="both"/>
      </w:pPr>
      <w:r>
        <w:rPr>
          <w:rFonts w:ascii="仿宋" w:eastAsia="仿宋" w:hAnsi="仿宋" w:cs="仿宋" w:hint="eastAsia"/>
          <w:sz w:val="32"/>
          <w:szCs w:val="32"/>
          <w:shd w:val="clear" w:color="auto" w:fill="FFFFFF"/>
        </w:rPr>
        <w:t>8.  温州市公用事业监管中心</w:t>
      </w:r>
    </w:p>
    <w:p w:rsidR="006813DE" w:rsidRDefault="00015ACD">
      <w:pPr>
        <w:pStyle w:val="a7"/>
        <w:numPr>
          <w:ilvl w:val="0"/>
          <w:numId w:val="2"/>
        </w:numPr>
        <w:spacing w:line="600" w:lineRule="atLeast"/>
        <w:ind w:firstLineChars="0"/>
        <w:jc w:val="both"/>
        <w:rPr>
          <w:rStyle w:val="a6"/>
          <w:rFonts w:ascii="仿宋" w:eastAsia="仿宋" w:hAnsi="仿宋" w:cs="仿宋"/>
          <w:b w:val="0"/>
          <w:bCs w:val="0"/>
          <w:sz w:val="32"/>
          <w:szCs w:val="32"/>
          <w:shd w:val="clear" w:color="auto" w:fill="FFFFFF"/>
        </w:rPr>
      </w:pPr>
      <w:r>
        <w:rPr>
          <w:rFonts w:ascii="仿宋" w:eastAsia="仿宋" w:hAnsi="仿宋" w:cs="仿宋" w:hint="eastAsia"/>
          <w:sz w:val="32"/>
          <w:szCs w:val="32"/>
          <w:shd w:val="clear" w:color="auto" w:fill="FFFFFF"/>
        </w:rPr>
        <w:t xml:space="preserve">  温州市环境卫生管理处</w:t>
      </w:r>
    </w:p>
    <w:p w:rsidR="006813DE" w:rsidRDefault="00015ACD">
      <w:pPr>
        <w:shd w:val="clear" w:color="auto" w:fill="FFFFFF"/>
        <w:spacing w:line="600" w:lineRule="atLeast"/>
        <w:ind w:firstLine="640"/>
        <w:jc w:val="both"/>
      </w:pPr>
      <w:r>
        <w:rPr>
          <w:rStyle w:val="a6"/>
          <w:rFonts w:ascii="黑体" w:eastAsia="黑体" w:hAnsi="黑体" w:cs="Arial" w:hint="eastAsia"/>
          <w:b w:val="0"/>
          <w:bCs w:val="0"/>
          <w:sz w:val="32"/>
          <w:szCs w:val="32"/>
        </w:rPr>
        <w:t>二、温州市综合行政执法局（汇总）2018年度部门决算公开表</w:t>
      </w:r>
    </w:p>
    <w:tbl>
      <w:tblPr>
        <w:tblW w:w="9229" w:type="dxa"/>
        <w:tblInd w:w="93" w:type="dxa"/>
        <w:tblLayout w:type="fixed"/>
        <w:tblLook w:val="04A0"/>
      </w:tblPr>
      <w:tblGrid>
        <w:gridCol w:w="415"/>
        <w:gridCol w:w="415"/>
        <w:gridCol w:w="415"/>
        <w:gridCol w:w="1581"/>
        <w:gridCol w:w="81"/>
        <w:gridCol w:w="431"/>
        <w:gridCol w:w="930"/>
        <w:gridCol w:w="193"/>
        <w:gridCol w:w="941"/>
        <w:gridCol w:w="248"/>
        <w:gridCol w:w="461"/>
        <w:gridCol w:w="283"/>
        <w:gridCol w:w="142"/>
        <w:gridCol w:w="142"/>
        <w:gridCol w:w="283"/>
        <w:gridCol w:w="284"/>
        <w:gridCol w:w="113"/>
        <w:gridCol w:w="28"/>
        <w:gridCol w:w="709"/>
        <w:gridCol w:w="83"/>
        <w:gridCol w:w="449"/>
        <w:gridCol w:w="602"/>
      </w:tblGrid>
      <w:tr w:rsidR="006813DE" w:rsidTr="00A42ED9">
        <w:trPr>
          <w:trHeight w:val="555"/>
        </w:trPr>
        <w:tc>
          <w:tcPr>
            <w:tcW w:w="9229" w:type="dxa"/>
            <w:gridSpan w:val="22"/>
            <w:shd w:val="clear" w:color="auto" w:fill="FFFFFF"/>
            <w:noWrap/>
            <w:vAlign w:val="center"/>
          </w:tcPr>
          <w:p w:rsidR="006813DE" w:rsidRDefault="006813DE">
            <w:pPr>
              <w:jc w:val="center"/>
              <w:rPr>
                <w:rFonts w:ascii="黑体" w:eastAsia="黑体" w:hAnsi="黑体" w:cs="Arial"/>
                <w:color w:val="000000"/>
                <w:sz w:val="44"/>
                <w:szCs w:val="44"/>
              </w:rPr>
            </w:pPr>
          </w:p>
          <w:tbl>
            <w:tblPr>
              <w:tblW w:w="9121" w:type="dxa"/>
              <w:tblLayout w:type="fixed"/>
              <w:tblLook w:val="04A0"/>
            </w:tblPr>
            <w:tblGrid>
              <w:gridCol w:w="2119"/>
              <w:gridCol w:w="1116"/>
              <w:gridCol w:w="916"/>
              <w:gridCol w:w="3694"/>
              <w:gridCol w:w="1276"/>
            </w:tblGrid>
            <w:tr w:rsidR="006813DE" w:rsidTr="00A42ED9">
              <w:trPr>
                <w:trHeight w:val="555"/>
              </w:trPr>
              <w:tc>
                <w:tcPr>
                  <w:tcW w:w="9121" w:type="dxa"/>
                  <w:gridSpan w:val="5"/>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收入支出决算总表</w:t>
                  </w:r>
                </w:p>
              </w:tc>
            </w:tr>
            <w:tr w:rsidR="006813DE" w:rsidTr="00A42ED9">
              <w:trPr>
                <w:trHeight w:val="300"/>
              </w:trPr>
              <w:tc>
                <w:tcPr>
                  <w:tcW w:w="9121" w:type="dxa"/>
                  <w:gridSpan w:val="5"/>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7845" w:type="dxa"/>
                  <w:gridSpan w:val="4"/>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1276" w:type="dxa"/>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公开01表</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 目</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w:t>
                  </w:r>
                  <w:r w:rsidR="00F51535">
                    <w:rPr>
                      <w:rFonts w:cs="Arial" w:hint="eastAsia"/>
                      <w:sz w:val="20"/>
                      <w:szCs w:val="20"/>
                    </w:rPr>
                    <w:t xml:space="preserve"> </w:t>
                  </w:r>
                  <w:r>
                    <w:rPr>
                      <w:rFonts w:cs="Arial" w:hint="eastAsia"/>
                      <w:sz w:val="20"/>
                      <w:szCs w:val="20"/>
                    </w:rPr>
                    <w:t>目</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一、财政拨款收入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52,199.58</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一般公共预算财政拨款</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20,804.77</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政府性基金预算财政拨款</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31,394.81</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二、事业收入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三、经营收入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四、其他收入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1,137.56</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五、上级补助收入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六、附属单位上缴收入</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lastRenderedPageBreak/>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社会保障和就业支出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20805</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行政事业单位离退休</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2080505</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机关事业单位基本养老保险缴费支出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2080506</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机关事业单位职业年金缴费支出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医疗卫生与计划生育支出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21011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行政事业单位医疗</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行政单位医疗</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2101102</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事业单位医疗</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城乡社区支出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45,073.27</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城乡社区管理事务</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4,397.67</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行政运行</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2120104</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城管执法</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2120107</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市政公用行业市场监管</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2120199</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其他城乡社区管理事务支出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895.98</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21203</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城乡社区公共设施</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2120399</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其他城乡社区公共设施支出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21205</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城乡社区环境卫生</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12,245.94</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2120501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城乡社区环境卫生</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12,245.94</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21208</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国有土地使用权出让收入及对应专项债务收入安排的支出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26,711.30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2120899</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其他国有土地使用权出让收入安排的支出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21213</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城市基础设施配套费及对应专项债务收入安排的支出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2121399</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其他城市基础设施配套费安排的支出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住房保障支出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22102</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住房改革支出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2210201</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住房公积金</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2210203</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购房补贴</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其他支出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22904</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其他政府性基金及对应专项债务收入安排的支出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2290400</w:t>
                  </w:r>
                </w:p>
              </w:tc>
              <w:tc>
                <w:tcPr>
                  <w:tcW w:w="369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其他政府性基金及对应专项债务收入安排的支出</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4,668.51</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本年收入合计</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53,337.14</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本年支出合计</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53,337.09</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用事业基金弥补收支差额</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结余分配</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年初结转和结余</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103.24</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年末结转和结余</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103.29</w:t>
                  </w:r>
                </w:p>
              </w:tc>
            </w:tr>
            <w:tr w:rsidR="006813DE" w:rsidTr="00A42ED9">
              <w:trPr>
                <w:trHeight w:val="300"/>
              </w:trPr>
              <w:tc>
                <w:tcPr>
                  <w:tcW w:w="2119"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总计</w:t>
                  </w:r>
                </w:p>
              </w:tc>
              <w:tc>
                <w:tcPr>
                  <w:tcW w:w="111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53,440.38</w:t>
                  </w:r>
                </w:p>
              </w:tc>
              <w:tc>
                <w:tcPr>
                  <w:tcW w:w="461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总计</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53,440.38</w:t>
                  </w:r>
                </w:p>
              </w:tc>
            </w:tr>
            <w:tr w:rsidR="006813DE" w:rsidTr="00A42ED9">
              <w:trPr>
                <w:trHeight w:val="300"/>
              </w:trPr>
              <w:tc>
                <w:tcPr>
                  <w:tcW w:w="9121" w:type="dxa"/>
                  <w:gridSpan w:val="5"/>
                  <w:shd w:val="clear" w:color="auto" w:fill="FFFFFF"/>
                  <w:noWrap/>
                  <w:vAlign w:val="center"/>
                </w:tcPr>
                <w:p w:rsidR="006813DE" w:rsidRDefault="00015ACD">
                  <w:pPr>
                    <w:rPr>
                      <w:rFonts w:cs="Arial"/>
                      <w:sz w:val="20"/>
                      <w:szCs w:val="20"/>
                    </w:rPr>
                  </w:pPr>
                  <w:r>
                    <w:rPr>
                      <w:rFonts w:cs="Arial" w:hint="eastAsia"/>
                      <w:sz w:val="20"/>
                      <w:szCs w:val="20"/>
                    </w:rPr>
                    <w:t>注：本表反应部门本年度的总收支和年末结转结余情况。本表金额转化为万元时，因四舍五入可能存在尾差。</w:t>
                  </w:r>
                </w:p>
              </w:tc>
            </w:tr>
          </w:tbl>
          <w:p w:rsidR="006813DE" w:rsidRDefault="006813DE">
            <w:pPr>
              <w:jc w:val="center"/>
              <w:rPr>
                <w:rFonts w:ascii="黑体" w:eastAsia="黑体" w:hAnsi="黑体" w:cs="Arial"/>
                <w:color w:val="000000"/>
                <w:sz w:val="44"/>
                <w:szCs w:val="44"/>
              </w:rPr>
            </w:pPr>
          </w:p>
          <w:p w:rsidR="006813DE" w:rsidRPr="00A42ED9" w:rsidRDefault="006813DE" w:rsidP="00A42ED9">
            <w:pPr>
              <w:rPr>
                <w:rFonts w:ascii="黑体" w:eastAsia="黑体" w:hAnsi="黑体" w:cs="Arial"/>
                <w:color w:val="000000"/>
                <w:sz w:val="44"/>
                <w:szCs w:val="44"/>
              </w:rPr>
            </w:pPr>
          </w:p>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lastRenderedPageBreak/>
              <w:t>收入决算表（分单位）</w:t>
            </w:r>
          </w:p>
        </w:tc>
      </w:tr>
      <w:tr w:rsidR="006813DE" w:rsidTr="00A42ED9">
        <w:trPr>
          <w:trHeight w:val="300"/>
        </w:trPr>
        <w:tc>
          <w:tcPr>
            <w:tcW w:w="9229" w:type="dxa"/>
            <w:gridSpan w:val="22"/>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lastRenderedPageBreak/>
              <w:t>金额单位：万元</w:t>
            </w:r>
          </w:p>
        </w:tc>
      </w:tr>
      <w:tr w:rsidR="006813DE" w:rsidTr="00A42ED9">
        <w:trPr>
          <w:trHeight w:val="300"/>
        </w:trPr>
        <w:tc>
          <w:tcPr>
            <w:tcW w:w="4268" w:type="dxa"/>
            <w:gridSpan w:val="7"/>
            <w:tcBorders>
              <w:top w:val="nil"/>
              <w:left w:val="nil"/>
              <w:bottom w:val="single" w:sz="4" w:space="0" w:color="808080"/>
              <w:right w:val="nil"/>
            </w:tcBorders>
            <w:shd w:val="clear" w:color="auto" w:fill="FFFFFF"/>
            <w:noWrap/>
            <w:vAlign w:val="center"/>
          </w:tcPr>
          <w:p w:rsidR="006813DE" w:rsidRDefault="00F51535">
            <w:pPr>
              <w:rPr>
                <w:rFonts w:cs="Arial"/>
                <w:color w:val="000000"/>
                <w:sz w:val="22"/>
                <w:szCs w:val="22"/>
              </w:rPr>
            </w:pPr>
            <w:r>
              <w:rPr>
                <w:rFonts w:cs="Arial" w:hint="eastAsia"/>
                <w:color w:val="000000"/>
                <w:sz w:val="22"/>
                <w:szCs w:val="22"/>
              </w:rPr>
              <w:t xml:space="preserve">编制单位：温州市综合行政执法局(汇总)   </w:t>
            </w:r>
          </w:p>
        </w:tc>
        <w:tc>
          <w:tcPr>
            <w:tcW w:w="1134" w:type="dxa"/>
            <w:gridSpan w:val="2"/>
            <w:tcBorders>
              <w:top w:val="nil"/>
              <w:left w:val="nil"/>
              <w:bottom w:val="single" w:sz="4" w:space="0" w:color="808080"/>
              <w:right w:val="nil"/>
            </w:tcBorders>
            <w:shd w:val="clear" w:color="auto" w:fill="FFFFFF"/>
            <w:noWrap/>
            <w:vAlign w:val="center"/>
          </w:tcPr>
          <w:p w:rsidR="006813DE" w:rsidRDefault="00F51535">
            <w:pPr>
              <w:rPr>
                <w:rFonts w:cs="Arial"/>
                <w:sz w:val="18"/>
                <w:szCs w:val="18"/>
              </w:rPr>
            </w:pPr>
            <w:r>
              <w:rPr>
                <w:rFonts w:cs="Arial" w:hint="eastAsia"/>
                <w:sz w:val="18"/>
                <w:szCs w:val="18"/>
              </w:rPr>
              <w:t xml:space="preserve">    </w:t>
            </w:r>
          </w:p>
        </w:tc>
        <w:tc>
          <w:tcPr>
            <w:tcW w:w="709"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567" w:type="dxa"/>
            <w:gridSpan w:val="3"/>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567"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1984" w:type="dxa"/>
            <w:gridSpan w:val="6"/>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公开02表</w:t>
            </w:r>
          </w:p>
        </w:tc>
      </w:tr>
      <w:tr w:rsidR="00015ACD" w:rsidTr="00A42ED9">
        <w:trPr>
          <w:trHeight w:val="570"/>
        </w:trPr>
        <w:tc>
          <w:tcPr>
            <w:tcW w:w="2907" w:type="dxa"/>
            <w:gridSpan w:val="5"/>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单位名称</w:t>
            </w:r>
          </w:p>
        </w:tc>
        <w:tc>
          <w:tcPr>
            <w:tcW w:w="1361"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本年收入合计</w:t>
            </w:r>
          </w:p>
        </w:tc>
        <w:tc>
          <w:tcPr>
            <w:tcW w:w="1134"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财政拨款收入</w:t>
            </w:r>
          </w:p>
        </w:tc>
        <w:tc>
          <w:tcPr>
            <w:tcW w:w="709"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上级补助收入</w:t>
            </w:r>
          </w:p>
        </w:tc>
        <w:tc>
          <w:tcPr>
            <w:tcW w:w="567"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事业收入</w:t>
            </w:r>
          </w:p>
        </w:tc>
        <w:tc>
          <w:tcPr>
            <w:tcW w:w="567"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经营收入</w:t>
            </w:r>
          </w:p>
        </w:tc>
        <w:tc>
          <w:tcPr>
            <w:tcW w:w="850" w:type="dxa"/>
            <w:gridSpan w:val="3"/>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附属单位上缴收入</w:t>
            </w:r>
          </w:p>
        </w:tc>
        <w:tc>
          <w:tcPr>
            <w:tcW w:w="1134"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其他收入</w:t>
            </w:r>
          </w:p>
        </w:tc>
      </w:tr>
      <w:tr w:rsidR="006813DE" w:rsidTr="00A42ED9">
        <w:trPr>
          <w:trHeight w:val="840"/>
        </w:trPr>
        <w:tc>
          <w:tcPr>
            <w:tcW w:w="2907" w:type="dxa"/>
            <w:gridSpan w:val="5"/>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1361"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850"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015ACD" w:rsidTr="00A42ED9">
        <w:trPr>
          <w:trHeight w:val="315"/>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栏次</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4</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6</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7</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53,337.14</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52,199.58</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1,137.56</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温州市综合行政执法局（本级）</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11,924.07</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11,924.07</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温州市建筑渣土消纳管理办公室</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326.75</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326.75</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温州市公用事业监管中心</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354.63</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354.63</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温州市环境卫生管理处</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17,017.20</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17,017.20</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温州市市政管理处</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10,480.27</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10,480.27</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温州市园林局</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564.78</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564.78</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温州市公园管理处</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4,608.05</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4,108.05</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500.00</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温州市景山森林公园管理处</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5,156.63</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5,156.63</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2907"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温州市园林绿化养护大队</w:t>
            </w:r>
          </w:p>
        </w:tc>
        <w:tc>
          <w:tcPr>
            <w:tcW w:w="136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2,904.75</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2,267.19</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5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637.56</w:t>
            </w:r>
          </w:p>
        </w:tc>
      </w:tr>
      <w:tr w:rsidR="006813DE" w:rsidTr="00A42ED9">
        <w:trPr>
          <w:gridAfter w:val="1"/>
          <w:wAfter w:w="602" w:type="dxa"/>
          <w:trHeight w:val="300"/>
        </w:trPr>
        <w:tc>
          <w:tcPr>
            <w:tcW w:w="8627" w:type="dxa"/>
            <w:gridSpan w:val="21"/>
            <w:shd w:val="clear" w:color="auto" w:fill="FFFFFF"/>
            <w:noWrap/>
            <w:vAlign w:val="center"/>
          </w:tcPr>
          <w:p w:rsidR="006813DE" w:rsidRDefault="00015ACD">
            <w:pPr>
              <w:rPr>
                <w:rFonts w:cs="Arial"/>
                <w:sz w:val="20"/>
                <w:szCs w:val="20"/>
              </w:rPr>
            </w:pPr>
            <w:r>
              <w:rPr>
                <w:rFonts w:cs="Arial" w:hint="eastAsia"/>
                <w:sz w:val="20"/>
                <w:szCs w:val="20"/>
              </w:rPr>
              <w:t>注：本表反应部门本</w:t>
            </w:r>
            <w:r w:rsidR="00572295">
              <w:rPr>
                <w:rFonts w:cs="Arial" w:hint="eastAsia"/>
                <w:sz w:val="20"/>
                <w:szCs w:val="20"/>
              </w:rPr>
              <w:t>年度取得各项收入情况。本表金额转化为万元时，因四舍五入可能存在</w:t>
            </w:r>
            <w:r>
              <w:rPr>
                <w:rFonts w:cs="Arial" w:hint="eastAsia"/>
                <w:sz w:val="20"/>
                <w:szCs w:val="20"/>
              </w:rPr>
              <w:t>差。</w:t>
            </w:r>
          </w:p>
        </w:tc>
      </w:tr>
      <w:tr w:rsidR="006813DE" w:rsidTr="00A42ED9">
        <w:trPr>
          <w:trHeight w:val="555"/>
        </w:trPr>
        <w:tc>
          <w:tcPr>
            <w:tcW w:w="9229" w:type="dxa"/>
            <w:gridSpan w:val="22"/>
            <w:shd w:val="clear" w:color="auto" w:fill="FFFFFF"/>
            <w:noWrap/>
            <w:vAlign w:val="center"/>
          </w:tcPr>
          <w:p w:rsidR="006813DE" w:rsidRDefault="006813DE">
            <w:pPr>
              <w:jc w:val="center"/>
              <w:rPr>
                <w:rFonts w:ascii="黑体" w:eastAsia="黑体" w:hAnsi="黑体" w:cs="Arial"/>
                <w:color w:val="000000"/>
                <w:sz w:val="36"/>
                <w:szCs w:val="36"/>
              </w:rPr>
            </w:pPr>
          </w:p>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收入决算表（分科目）</w:t>
            </w:r>
          </w:p>
        </w:tc>
      </w:tr>
      <w:tr w:rsidR="006813DE" w:rsidTr="00A42ED9">
        <w:trPr>
          <w:trHeight w:val="300"/>
        </w:trPr>
        <w:tc>
          <w:tcPr>
            <w:tcW w:w="9229" w:type="dxa"/>
            <w:gridSpan w:val="22"/>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4461" w:type="dxa"/>
            <w:gridSpan w:val="8"/>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1189"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744"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567" w:type="dxa"/>
            <w:gridSpan w:val="3"/>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425" w:type="dxa"/>
            <w:gridSpan w:val="3"/>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1843" w:type="dxa"/>
            <w:gridSpan w:val="4"/>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公开03表</w:t>
            </w:r>
          </w:p>
        </w:tc>
      </w:tr>
      <w:tr w:rsidR="00015ACD" w:rsidTr="00A42ED9">
        <w:trPr>
          <w:trHeight w:val="300"/>
        </w:trPr>
        <w:tc>
          <w:tcPr>
            <w:tcW w:w="3338" w:type="dxa"/>
            <w:gridSpan w:val="6"/>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w:t>
            </w:r>
            <w:r w:rsidR="00F51535">
              <w:rPr>
                <w:rFonts w:cs="Arial" w:hint="eastAsia"/>
                <w:sz w:val="20"/>
                <w:szCs w:val="20"/>
              </w:rPr>
              <w:t xml:space="preserve"> </w:t>
            </w:r>
            <w:r>
              <w:rPr>
                <w:rFonts w:cs="Arial" w:hint="eastAsia"/>
                <w:sz w:val="20"/>
                <w:szCs w:val="20"/>
              </w:rPr>
              <w:t>目</w:t>
            </w:r>
          </w:p>
        </w:tc>
        <w:tc>
          <w:tcPr>
            <w:tcW w:w="1123"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本年收入合计</w:t>
            </w:r>
          </w:p>
        </w:tc>
        <w:tc>
          <w:tcPr>
            <w:tcW w:w="1189"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财政拨款收入</w:t>
            </w:r>
          </w:p>
        </w:tc>
        <w:tc>
          <w:tcPr>
            <w:tcW w:w="744"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上级补助收入</w:t>
            </w:r>
          </w:p>
        </w:tc>
        <w:tc>
          <w:tcPr>
            <w:tcW w:w="567"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事业收入</w:t>
            </w:r>
          </w:p>
        </w:tc>
        <w:tc>
          <w:tcPr>
            <w:tcW w:w="425"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经营收入</w:t>
            </w:r>
          </w:p>
        </w:tc>
        <w:tc>
          <w:tcPr>
            <w:tcW w:w="709"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附属单位上缴收入</w:t>
            </w:r>
          </w:p>
        </w:tc>
        <w:tc>
          <w:tcPr>
            <w:tcW w:w="1134"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其他收入</w:t>
            </w:r>
          </w:p>
        </w:tc>
      </w:tr>
      <w:tr w:rsidR="006813DE" w:rsidTr="00A42ED9">
        <w:trPr>
          <w:trHeight w:val="312"/>
        </w:trPr>
        <w:tc>
          <w:tcPr>
            <w:tcW w:w="1245" w:type="dxa"/>
            <w:gridSpan w:val="3"/>
            <w:vMerge w:val="restart"/>
            <w:tcBorders>
              <w:top w:val="nil"/>
              <w:left w:val="single" w:sz="4" w:space="0" w:color="000000"/>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支出功能分类科目编码</w:t>
            </w:r>
          </w:p>
        </w:tc>
        <w:tc>
          <w:tcPr>
            <w:tcW w:w="2093" w:type="dxa"/>
            <w:gridSpan w:val="3"/>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1123"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89"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44"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25"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12"/>
        </w:trPr>
        <w:tc>
          <w:tcPr>
            <w:tcW w:w="1245"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2093"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23"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89"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44"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25"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12"/>
        </w:trPr>
        <w:tc>
          <w:tcPr>
            <w:tcW w:w="1245"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2093"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23"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89"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44"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25"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015ACD" w:rsidTr="00A42ED9">
        <w:trPr>
          <w:trHeight w:val="300"/>
        </w:trPr>
        <w:tc>
          <w:tcPr>
            <w:tcW w:w="415" w:type="dxa"/>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类</w:t>
            </w:r>
          </w:p>
        </w:tc>
        <w:tc>
          <w:tcPr>
            <w:tcW w:w="415"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款</w:t>
            </w:r>
          </w:p>
        </w:tc>
        <w:tc>
          <w:tcPr>
            <w:tcW w:w="415"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栏次</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2</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4</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6</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7</w:t>
            </w:r>
          </w:p>
        </w:tc>
      </w:tr>
      <w:tr w:rsidR="00015ACD" w:rsidTr="00A42ED9">
        <w:trPr>
          <w:trHeight w:val="300"/>
        </w:trPr>
        <w:tc>
          <w:tcPr>
            <w:tcW w:w="415" w:type="dxa"/>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415"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15"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53,337.14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52,199.58</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1,137.56</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8"/>
                <w:szCs w:val="18"/>
              </w:rPr>
            </w:pPr>
            <w:r>
              <w:rPr>
                <w:rFonts w:cs="Arial" w:hint="eastAsia"/>
                <w:b/>
                <w:bCs/>
                <w:sz w:val="18"/>
                <w:szCs w:val="18"/>
              </w:rPr>
              <w:t>社会保障和就业支出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20805</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8"/>
                <w:szCs w:val="18"/>
              </w:rPr>
            </w:pPr>
            <w:r>
              <w:rPr>
                <w:rFonts w:cs="Arial" w:hint="eastAsia"/>
                <w:b/>
                <w:bCs/>
                <w:sz w:val="18"/>
                <w:szCs w:val="18"/>
              </w:rPr>
              <w:t>行政事业单位离退休</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2080505</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机关事业单位基本养老保险缴费支出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2080506</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机关事业单位职业年金缴费支出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医疗卫生与计划生育支出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21011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行政事业单位医疗</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行政单位医疗</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2101102</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事业单位医疗</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45,073.32</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43,935.76</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1,137.56</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lastRenderedPageBreak/>
              <w:t>21201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城乡社区管理事务</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4,397.73</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3,760.17</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637.56</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行政运行</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2120104</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城管执法</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2120107</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市政公用行业市场监管</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2120199</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其他城乡社区管理事务支出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896.04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258.48</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637.56</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21203</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城乡社区公共设施</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2120399</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其他城乡社区公共设施支出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21205</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城乡社区环境卫生</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12,245.94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11,745.94</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500.00</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2120501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城乡社区环境卫生</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12,245.94</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11,745.94</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500.00</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21208</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国有土地使用权出让收入及对应专项债务收入安排的支出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26,711.30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26,711.30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2120899</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其他国有土地使用权出让收入安排的支出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21213</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8"/>
                <w:szCs w:val="18"/>
              </w:rPr>
            </w:pPr>
            <w:r>
              <w:rPr>
                <w:rFonts w:cs="Arial" w:hint="eastAsia"/>
                <w:b/>
                <w:bCs/>
                <w:sz w:val="18"/>
                <w:szCs w:val="18"/>
              </w:rPr>
              <w:t>城市基础设施配套费及对应专项债务收入安排的支出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2121399</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其他城市基础设施配套费安排的支出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住房保障支出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22102</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住房改革支出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2210201</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住房公积金</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2210203</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购房补贴</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2"/>
                <w:szCs w:val="12"/>
              </w:rPr>
            </w:pPr>
            <w:r>
              <w:rPr>
                <w:rFonts w:cs="Arial" w:hint="eastAsia"/>
                <w:b/>
                <w:bCs/>
                <w:sz w:val="12"/>
                <w:szCs w:val="12"/>
              </w:rPr>
              <w:t>其他支出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22904</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2"/>
                <w:szCs w:val="12"/>
              </w:rPr>
            </w:pPr>
            <w:r>
              <w:rPr>
                <w:rFonts w:cs="Arial" w:hint="eastAsia"/>
                <w:b/>
                <w:bCs/>
                <w:sz w:val="12"/>
                <w:szCs w:val="12"/>
              </w:rPr>
              <w:t>其他政府性基金及对应专项债务收入安排的支出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015ACD"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2290400</w:t>
            </w:r>
          </w:p>
        </w:tc>
        <w:tc>
          <w:tcPr>
            <w:tcW w:w="2093"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2"/>
                <w:szCs w:val="12"/>
              </w:rPr>
            </w:pPr>
            <w:r>
              <w:rPr>
                <w:rFonts w:cs="Arial" w:hint="eastAsia"/>
                <w:b/>
                <w:bCs/>
                <w:sz w:val="12"/>
                <w:szCs w:val="12"/>
              </w:rPr>
              <w:t xml:space="preserve">  其他政府性基金及对应专项债务收入安排的支出</w:t>
            </w:r>
          </w:p>
        </w:tc>
        <w:tc>
          <w:tcPr>
            <w:tcW w:w="1123"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18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74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425"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RPr="00572295" w:rsidTr="00A42ED9">
        <w:trPr>
          <w:gridAfter w:val="1"/>
          <w:wAfter w:w="602" w:type="dxa"/>
          <w:trHeight w:val="300"/>
        </w:trPr>
        <w:tc>
          <w:tcPr>
            <w:tcW w:w="8627" w:type="dxa"/>
            <w:gridSpan w:val="21"/>
            <w:shd w:val="clear" w:color="auto" w:fill="FFFFFF"/>
            <w:noWrap/>
            <w:vAlign w:val="center"/>
          </w:tcPr>
          <w:p w:rsidR="006813DE" w:rsidRDefault="00015ACD">
            <w:pPr>
              <w:rPr>
                <w:rFonts w:cs="Arial"/>
                <w:sz w:val="20"/>
                <w:szCs w:val="20"/>
              </w:rPr>
            </w:pPr>
            <w:r>
              <w:rPr>
                <w:rFonts w:cs="Arial" w:hint="eastAsia"/>
                <w:sz w:val="20"/>
                <w:szCs w:val="20"/>
              </w:rPr>
              <w:t>注：本表反应部门本年度取得各项收入情况。本表金额转化</w:t>
            </w:r>
            <w:r w:rsidR="00572295">
              <w:rPr>
                <w:rFonts w:cs="Arial" w:hint="eastAsia"/>
                <w:sz w:val="20"/>
                <w:szCs w:val="20"/>
              </w:rPr>
              <w:t>为万元时，因四舍五入可能存在</w:t>
            </w:r>
            <w:r>
              <w:rPr>
                <w:rFonts w:cs="Arial" w:hint="eastAsia"/>
                <w:sz w:val="20"/>
                <w:szCs w:val="20"/>
              </w:rPr>
              <w:t>差。</w:t>
            </w:r>
          </w:p>
        </w:tc>
      </w:tr>
      <w:tr w:rsidR="00572295" w:rsidRPr="00572295" w:rsidTr="00A42ED9">
        <w:trPr>
          <w:gridAfter w:val="1"/>
          <w:wAfter w:w="602" w:type="dxa"/>
          <w:trHeight w:val="300"/>
        </w:trPr>
        <w:tc>
          <w:tcPr>
            <w:tcW w:w="8627" w:type="dxa"/>
            <w:gridSpan w:val="21"/>
            <w:shd w:val="clear" w:color="auto" w:fill="FFFFFF"/>
            <w:noWrap/>
            <w:vAlign w:val="center"/>
          </w:tcPr>
          <w:p w:rsidR="00572295" w:rsidRDefault="00572295">
            <w:pPr>
              <w:rPr>
                <w:rFonts w:cs="Arial"/>
                <w:sz w:val="20"/>
                <w:szCs w:val="20"/>
              </w:rPr>
            </w:pPr>
          </w:p>
        </w:tc>
      </w:tr>
      <w:tr w:rsidR="006813DE" w:rsidTr="00A42ED9">
        <w:trPr>
          <w:trHeight w:val="555"/>
        </w:trPr>
        <w:tc>
          <w:tcPr>
            <w:tcW w:w="9229" w:type="dxa"/>
            <w:gridSpan w:val="22"/>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支出决算表（分单位）</w:t>
            </w:r>
          </w:p>
        </w:tc>
      </w:tr>
      <w:tr w:rsidR="006813DE" w:rsidTr="00A42ED9">
        <w:trPr>
          <w:trHeight w:val="300"/>
        </w:trPr>
        <w:tc>
          <w:tcPr>
            <w:tcW w:w="9229" w:type="dxa"/>
            <w:gridSpan w:val="22"/>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5402" w:type="dxa"/>
            <w:gridSpan w:val="9"/>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1134" w:type="dxa"/>
            <w:gridSpan w:val="4"/>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822" w:type="dxa"/>
            <w:gridSpan w:val="4"/>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1871" w:type="dxa"/>
            <w:gridSpan w:val="5"/>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公开04表</w:t>
            </w:r>
          </w:p>
        </w:tc>
      </w:tr>
      <w:tr w:rsidR="006813DE" w:rsidTr="00A42ED9">
        <w:trPr>
          <w:trHeight w:val="312"/>
        </w:trPr>
        <w:tc>
          <w:tcPr>
            <w:tcW w:w="2826" w:type="dxa"/>
            <w:gridSpan w:val="4"/>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单位名称</w:t>
            </w:r>
          </w:p>
        </w:tc>
        <w:tc>
          <w:tcPr>
            <w:tcW w:w="1442" w:type="dxa"/>
            <w:gridSpan w:val="3"/>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本年支出合计</w:t>
            </w:r>
          </w:p>
        </w:tc>
        <w:tc>
          <w:tcPr>
            <w:tcW w:w="1134" w:type="dxa"/>
            <w:gridSpan w:val="2"/>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基本支出</w:t>
            </w:r>
          </w:p>
        </w:tc>
        <w:tc>
          <w:tcPr>
            <w:tcW w:w="1134" w:type="dxa"/>
            <w:gridSpan w:val="4"/>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项目支出</w:t>
            </w:r>
          </w:p>
        </w:tc>
        <w:tc>
          <w:tcPr>
            <w:tcW w:w="822" w:type="dxa"/>
            <w:gridSpan w:val="4"/>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上缴上级支出</w:t>
            </w:r>
          </w:p>
        </w:tc>
        <w:tc>
          <w:tcPr>
            <w:tcW w:w="820" w:type="dxa"/>
            <w:gridSpan w:val="3"/>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经营支出</w:t>
            </w:r>
          </w:p>
        </w:tc>
        <w:tc>
          <w:tcPr>
            <w:tcW w:w="1051" w:type="dxa"/>
            <w:gridSpan w:val="2"/>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对附属单位补助支出</w:t>
            </w:r>
          </w:p>
        </w:tc>
      </w:tr>
      <w:tr w:rsidR="006813DE" w:rsidTr="00A42ED9">
        <w:trPr>
          <w:trHeight w:val="450"/>
        </w:trPr>
        <w:tc>
          <w:tcPr>
            <w:tcW w:w="2826" w:type="dxa"/>
            <w:gridSpan w:val="4"/>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1442"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gridSpan w:val="4"/>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822" w:type="dxa"/>
            <w:gridSpan w:val="4"/>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820" w:type="dxa"/>
            <w:gridSpan w:val="3"/>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051"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栏次</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2</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4</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6</w:t>
            </w: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53,337.09</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15,397.38</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37,939.71</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温州市综合行政执法局（本级）</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11,924.07</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3,881.59</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8,042.48</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温州市建筑渣土消纳管理办公室</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326.75</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277.93</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48.82</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温州市公用事业监管中心</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354.63</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304.55</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50.07</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温州市环境卫生管理处</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17,017.20</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1,992.05</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15,025.16</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419"/>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温州市市政管理处</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10,480.27</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2,271.28</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8,209.00</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81"/>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lastRenderedPageBreak/>
              <w:t>温州市园林局</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564.78</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355.29</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209.49</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56"/>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温州市公园管理处</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4,608.05</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3,081.34</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1,526.72</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475"/>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温州市景山森林公园管理处</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5,156.63</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1,733.42</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3,423.22</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450"/>
        </w:trPr>
        <w:tc>
          <w:tcPr>
            <w:tcW w:w="2826"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温州市园林绿化养护大队</w:t>
            </w:r>
          </w:p>
        </w:tc>
        <w:tc>
          <w:tcPr>
            <w:tcW w:w="1442"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2,904.69</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1,499.94</w:t>
            </w:r>
          </w:p>
        </w:tc>
        <w:tc>
          <w:tcPr>
            <w:tcW w:w="1134"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1,404.75</w:t>
            </w:r>
          </w:p>
        </w:tc>
        <w:tc>
          <w:tcPr>
            <w:tcW w:w="822" w:type="dxa"/>
            <w:gridSpan w:val="4"/>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820" w:type="dxa"/>
            <w:gridSpan w:val="3"/>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051"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9229" w:type="dxa"/>
            <w:gridSpan w:val="22"/>
            <w:shd w:val="clear" w:color="auto" w:fill="FFFFFF"/>
            <w:noWrap/>
            <w:vAlign w:val="center"/>
          </w:tcPr>
          <w:p w:rsidR="006813DE" w:rsidRDefault="00015ACD">
            <w:pPr>
              <w:rPr>
                <w:rFonts w:cs="Arial"/>
                <w:sz w:val="20"/>
                <w:szCs w:val="20"/>
              </w:rPr>
            </w:pPr>
            <w:r>
              <w:rPr>
                <w:rFonts w:cs="Arial" w:hint="eastAsia"/>
                <w:sz w:val="20"/>
                <w:szCs w:val="20"/>
              </w:rPr>
              <w:t>注：本表反应部门本年度各项支出情况。本表金额转化为万元时，因四舍五入可能存在尾差。</w:t>
            </w:r>
          </w:p>
        </w:tc>
      </w:tr>
    </w:tbl>
    <w:p w:rsidR="006813DE" w:rsidRDefault="006813DE" w:rsidP="00E77A61">
      <w:pPr>
        <w:shd w:val="clear" w:color="auto" w:fill="FFFFFF"/>
        <w:spacing w:line="600" w:lineRule="atLeast"/>
        <w:jc w:val="both"/>
        <w:rPr>
          <w:rStyle w:val="a6"/>
          <w:rFonts w:ascii="黑体" w:eastAsia="黑体" w:hAnsi="黑体" w:cs="Arial"/>
          <w:sz w:val="32"/>
          <w:szCs w:val="32"/>
        </w:rPr>
      </w:pPr>
    </w:p>
    <w:tbl>
      <w:tblPr>
        <w:tblW w:w="9229" w:type="dxa"/>
        <w:tblInd w:w="93" w:type="dxa"/>
        <w:tblLayout w:type="fixed"/>
        <w:tblLook w:val="04A0"/>
      </w:tblPr>
      <w:tblGrid>
        <w:gridCol w:w="415"/>
        <w:gridCol w:w="415"/>
        <w:gridCol w:w="415"/>
        <w:gridCol w:w="2456"/>
        <w:gridCol w:w="1140"/>
        <w:gridCol w:w="1270"/>
        <w:gridCol w:w="1134"/>
        <w:gridCol w:w="708"/>
        <w:gridCol w:w="567"/>
        <w:gridCol w:w="709"/>
      </w:tblGrid>
      <w:tr w:rsidR="006813DE" w:rsidTr="00A42ED9">
        <w:trPr>
          <w:trHeight w:val="555"/>
        </w:trPr>
        <w:tc>
          <w:tcPr>
            <w:tcW w:w="9229" w:type="dxa"/>
            <w:gridSpan w:val="10"/>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支出决算表（分科目）</w:t>
            </w:r>
          </w:p>
        </w:tc>
      </w:tr>
      <w:tr w:rsidR="006813DE" w:rsidTr="00A42ED9">
        <w:trPr>
          <w:trHeight w:val="300"/>
        </w:trPr>
        <w:tc>
          <w:tcPr>
            <w:tcW w:w="9229" w:type="dxa"/>
            <w:gridSpan w:val="10"/>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4841" w:type="dxa"/>
            <w:gridSpan w:val="5"/>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1270" w:type="dxa"/>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1134" w:type="dxa"/>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708" w:type="dxa"/>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1276" w:type="dxa"/>
            <w:gridSpan w:val="2"/>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公开05表</w:t>
            </w:r>
          </w:p>
        </w:tc>
      </w:tr>
      <w:tr w:rsidR="006813DE" w:rsidTr="00A42ED9">
        <w:trPr>
          <w:trHeight w:val="300"/>
        </w:trPr>
        <w:tc>
          <w:tcPr>
            <w:tcW w:w="3701"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rsidP="00F51535">
            <w:pPr>
              <w:jc w:val="center"/>
              <w:rPr>
                <w:rFonts w:cs="Arial"/>
                <w:sz w:val="20"/>
                <w:szCs w:val="20"/>
              </w:rPr>
            </w:pPr>
            <w:r>
              <w:rPr>
                <w:rFonts w:cs="Arial" w:hint="eastAsia"/>
                <w:sz w:val="20"/>
                <w:szCs w:val="20"/>
              </w:rPr>
              <w:t>项</w:t>
            </w:r>
            <w:r w:rsidR="00F51535">
              <w:rPr>
                <w:rFonts w:cs="Arial" w:hint="eastAsia"/>
                <w:sz w:val="20"/>
                <w:szCs w:val="20"/>
              </w:rPr>
              <w:t xml:space="preserve"> </w:t>
            </w:r>
            <w:r>
              <w:rPr>
                <w:rFonts w:cs="Arial" w:hint="eastAsia"/>
                <w:sz w:val="20"/>
                <w:szCs w:val="20"/>
              </w:rPr>
              <w:t>目</w:t>
            </w:r>
          </w:p>
        </w:tc>
        <w:tc>
          <w:tcPr>
            <w:tcW w:w="1140"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本年支出合计</w:t>
            </w:r>
          </w:p>
        </w:tc>
        <w:tc>
          <w:tcPr>
            <w:tcW w:w="1270"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基本支出</w:t>
            </w:r>
          </w:p>
        </w:tc>
        <w:tc>
          <w:tcPr>
            <w:tcW w:w="1134"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项目支出</w:t>
            </w:r>
          </w:p>
        </w:tc>
        <w:tc>
          <w:tcPr>
            <w:tcW w:w="708"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上缴上级支出</w:t>
            </w:r>
          </w:p>
        </w:tc>
        <w:tc>
          <w:tcPr>
            <w:tcW w:w="567"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经营支出</w:t>
            </w:r>
          </w:p>
        </w:tc>
        <w:tc>
          <w:tcPr>
            <w:tcW w:w="709"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对附属单位补助支出</w:t>
            </w:r>
          </w:p>
        </w:tc>
      </w:tr>
      <w:tr w:rsidR="006813DE" w:rsidTr="00A42ED9">
        <w:trPr>
          <w:trHeight w:val="312"/>
        </w:trPr>
        <w:tc>
          <w:tcPr>
            <w:tcW w:w="1245" w:type="dxa"/>
            <w:gridSpan w:val="3"/>
            <w:vMerge w:val="restart"/>
            <w:tcBorders>
              <w:top w:val="nil"/>
              <w:left w:val="single" w:sz="4" w:space="0" w:color="000000"/>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支出功能分类科目编码</w:t>
            </w:r>
          </w:p>
        </w:tc>
        <w:tc>
          <w:tcPr>
            <w:tcW w:w="2456"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114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27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8"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12"/>
        </w:trPr>
        <w:tc>
          <w:tcPr>
            <w:tcW w:w="1245"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2456"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4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27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8"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259"/>
        </w:trPr>
        <w:tc>
          <w:tcPr>
            <w:tcW w:w="1245"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2456"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4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270"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8"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567"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00"/>
        </w:trPr>
        <w:tc>
          <w:tcPr>
            <w:tcW w:w="415" w:type="dxa"/>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类</w:t>
            </w:r>
          </w:p>
        </w:tc>
        <w:tc>
          <w:tcPr>
            <w:tcW w:w="415"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款</w:t>
            </w:r>
          </w:p>
        </w:tc>
        <w:tc>
          <w:tcPr>
            <w:tcW w:w="415"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rsidP="00572295">
            <w:pPr>
              <w:jc w:val="center"/>
              <w:rPr>
                <w:rFonts w:cs="Arial"/>
                <w:sz w:val="20"/>
                <w:szCs w:val="20"/>
              </w:rPr>
            </w:pPr>
            <w:r>
              <w:rPr>
                <w:rFonts w:cs="Arial" w:hint="eastAsia"/>
                <w:sz w:val="20"/>
                <w:szCs w:val="20"/>
              </w:rPr>
              <w:t>项</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rsidP="00572295">
            <w:pPr>
              <w:jc w:val="center"/>
              <w:rPr>
                <w:rFonts w:cs="Arial"/>
                <w:sz w:val="20"/>
                <w:szCs w:val="20"/>
              </w:rPr>
            </w:pPr>
            <w:r>
              <w:rPr>
                <w:rFonts w:cs="Arial" w:hint="eastAsia"/>
                <w:sz w:val="20"/>
                <w:szCs w:val="20"/>
              </w:rPr>
              <w:t>栏次</w:t>
            </w:r>
          </w:p>
        </w:tc>
        <w:tc>
          <w:tcPr>
            <w:tcW w:w="1140"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1</w:t>
            </w:r>
          </w:p>
        </w:tc>
        <w:tc>
          <w:tcPr>
            <w:tcW w:w="1270"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2</w:t>
            </w:r>
          </w:p>
        </w:tc>
        <w:tc>
          <w:tcPr>
            <w:tcW w:w="1134"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3</w:t>
            </w:r>
          </w:p>
        </w:tc>
        <w:tc>
          <w:tcPr>
            <w:tcW w:w="708"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4</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6</w:t>
            </w:r>
          </w:p>
        </w:tc>
      </w:tr>
      <w:tr w:rsidR="006813DE" w:rsidTr="00A42ED9">
        <w:trPr>
          <w:trHeight w:val="300"/>
        </w:trPr>
        <w:tc>
          <w:tcPr>
            <w:tcW w:w="415" w:type="dxa"/>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415"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15"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53,337.09</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15,397.38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37,939.71</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社会保障和就业支出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20805</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行政事业单位离退休</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2080505</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机关事业单位基本养老保险缴费支出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2080506</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机关事业单位职业年金缴费支出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医疗卫生与计划生育支出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21011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行政事业单位医疗</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行政单位医疗</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2101102</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事业单位医疗</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45,073.27</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9,033.13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36,040.13</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城乡社区管理事务</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4,397.68</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3,118.75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1,278.92</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行政运行</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2120104</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城管执法</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2120107</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市政公用行业市场监管</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231.08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50.07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2120199</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其他城乡社区管理事务支出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895.98</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209.66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686.33</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21203</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城乡社区公共设施</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1,619.30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84.04</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2120399</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其他城乡社区公共设施支出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1,619.30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84.04</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21205</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城乡社区环境卫生</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12,245.94</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4,295.08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7,950.87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2120501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城乡社区环境卫生</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12,245.94</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4,295.08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7,950.87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21208</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8"/>
                <w:szCs w:val="18"/>
              </w:rPr>
            </w:pPr>
            <w:r>
              <w:rPr>
                <w:rFonts w:cs="Arial" w:hint="eastAsia"/>
                <w:b/>
                <w:bCs/>
                <w:sz w:val="18"/>
                <w:szCs w:val="18"/>
              </w:rPr>
              <w:t>国有土地使用权出让收入及对应专项债务收入安排的支出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26,711.30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26,711.30</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2120899</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其他国有土地使用权出让收入安排的支出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21213</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城市基础设施配套费及对应专项债务收入安排的支</w:t>
            </w:r>
            <w:r>
              <w:rPr>
                <w:rFonts w:cs="Arial" w:hint="eastAsia"/>
                <w:b/>
                <w:bCs/>
                <w:sz w:val="20"/>
                <w:szCs w:val="20"/>
              </w:rPr>
              <w:lastRenderedPageBreak/>
              <w:t>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lastRenderedPageBreak/>
              <w:t>15.00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lastRenderedPageBreak/>
              <w:t>2121399</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其他城市基础设施配套费安排的支出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住房保障支出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9,562.87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22102</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住房改革支出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2210201</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住房公积金</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2210203</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购房补贴</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2,768.93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1,899.57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22904</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其他政府性基金及对应专项债务收入安排的支出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2,768.93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1,899.57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45"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2290400</w:t>
            </w:r>
          </w:p>
        </w:tc>
        <w:tc>
          <w:tcPr>
            <w:tcW w:w="245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其他政府性基金及对应专项债务收入安排的支出</w:t>
            </w:r>
          </w:p>
        </w:tc>
        <w:tc>
          <w:tcPr>
            <w:tcW w:w="114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4,668.51</w:t>
            </w:r>
          </w:p>
        </w:tc>
        <w:tc>
          <w:tcPr>
            <w:tcW w:w="1270"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2,768.93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1,899.57</w:t>
            </w:r>
          </w:p>
        </w:tc>
        <w:tc>
          <w:tcPr>
            <w:tcW w:w="70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9229" w:type="dxa"/>
            <w:gridSpan w:val="10"/>
            <w:shd w:val="clear" w:color="auto" w:fill="FFFFFF"/>
            <w:noWrap/>
            <w:vAlign w:val="center"/>
          </w:tcPr>
          <w:p w:rsidR="006813DE" w:rsidRDefault="00015ACD">
            <w:pPr>
              <w:rPr>
                <w:rFonts w:cs="Arial"/>
                <w:sz w:val="20"/>
                <w:szCs w:val="20"/>
              </w:rPr>
            </w:pPr>
            <w:r>
              <w:rPr>
                <w:rFonts w:cs="Arial" w:hint="eastAsia"/>
                <w:sz w:val="20"/>
                <w:szCs w:val="20"/>
              </w:rPr>
              <w:t>注：本表反应部门本年度各项支出情况。本表金额转化为万元时，因四舍五入可能存在尾差。</w:t>
            </w:r>
          </w:p>
        </w:tc>
      </w:tr>
    </w:tbl>
    <w:p w:rsidR="006813DE" w:rsidRDefault="006813DE">
      <w:pPr>
        <w:shd w:val="clear" w:color="auto" w:fill="FFFFFF"/>
        <w:spacing w:line="600" w:lineRule="atLeast"/>
        <w:ind w:firstLine="640"/>
        <w:jc w:val="both"/>
        <w:rPr>
          <w:rStyle w:val="a6"/>
          <w:rFonts w:ascii="黑体" w:eastAsia="黑体" w:hAnsi="黑体" w:cs="Arial"/>
          <w:sz w:val="32"/>
          <w:szCs w:val="32"/>
        </w:rPr>
      </w:pPr>
    </w:p>
    <w:tbl>
      <w:tblPr>
        <w:tblW w:w="9229" w:type="dxa"/>
        <w:tblInd w:w="93" w:type="dxa"/>
        <w:tblLayout w:type="fixed"/>
        <w:tblLook w:val="04A0"/>
      </w:tblPr>
      <w:tblGrid>
        <w:gridCol w:w="1110"/>
        <w:gridCol w:w="1129"/>
        <w:gridCol w:w="1037"/>
        <w:gridCol w:w="2409"/>
        <w:gridCol w:w="240"/>
        <w:gridCol w:w="894"/>
        <w:gridCol w:w="1134"/>
        <w:gridCol w:w="1276"/>
      </w:tblGrid>
      <w:tr w:rsidR="006813DE" w:rsidTr="00A42ED9">
        <w:trPr>
          <w:trHeight w:val="555"/>
        </w:trPr>
        <w:tc>
          <w:tcPr>
            <w:tcW w:w="9229" w:type="dxa"/>
            <w:gridSpan w:val="8"/>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财政拨款收入支出决算总表</w:t>
            </w:r>
          </w:p>
        </w:tc>
      </w:tr>
      <w:tr w:rsidR="006813DE" w:rsidTr="00A42ED9">
        <w:trPr>
          <w:trHeight w:val="300"/>
        </w:trPr>
        <w:tc>
          <w:tcPr>
            <w:tcW w:w="9229" w:type="dxa"/>
            <w:gridSpan w:val="8"/>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5925" w:type="dxa"/>
            <w:gridSpan w:val="5"/>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3304" w:type="dxa"/>
            <w:gridSpan w:val="3"/>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公开06表</w:t>
            </w:r>
          </w:p>
        </w:tc>
      </w:tr>
      <w:tr w:rsidR="006813DE" w:rsidTr="00A42ED9">
        <w:trPr>
          <w:trHeight w:val="300"/>
        </w:trPr>
        <w:tc>
          <w:tcPr>
            <w:tcW w:w="2239" w:type="dxa"/>
            <w:gridSpan w:val="2"/>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收    入</w:t>
            </w:r>
          </w:p>
        </w:tc>
        <w:tc>
          <w:tcPr>
            <w:tcW w:w="6990" w:type="dxa"/>
            <w:gridSpan w:val="6"/>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支    出（按支出功能分类）</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 目</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项目</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一般公共预算财政拨款</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政府性基金预算财政拨款</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栏次</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栏次</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4</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一、一般公共预算财政拨款</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20,804.77</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二、政府性基金预算财政拨款</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31,394.81</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社会保障和就业支出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20805</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行政事业单位离退休</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2080505</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机关事业单位基本养老保险缴费支出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2080506</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机关事业单位职业年金缴费支出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医疗卫生与计划生育支出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21011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行政事业单位医疗</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行政单位医疗</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2101102</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事业单位医疗</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43,935.76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17,209.46</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26,726.30</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城乡社区管理事务</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3,760.17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3,760.17</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行政运行</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2120104</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城管执法</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2120107</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市政公用行业市场监管</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2120199</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其他城乡社区管理事</w:t>
            </w:r>
            <w:r>
              <w:rPr>
                <w:rFonts w:cs="Arial" w:hint="eastAsia"/>
                <w:sz w:val="20"/>
                <w:szCs w:val="20"/>
              </w:rPr>
              <w:lastRenderedPageBreak/>
              <w:t>务支出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lastRenderedPageBreak/>
              <w:t>258.48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258.48</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lastRenderedPageBreak/>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21203</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城乡社区公共设施</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2120399</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其他城乡社区公共设施支出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21205</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城乡社区环境卫生</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11,745.94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11,745.94</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2120501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城乡社区环境卫生</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11,745.94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11,745.94</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21208</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8"/>
                <w:szCs w:val="18"/>
              </w:rPr>
            </w:pPr>
            <w:r>
              <w:rPr>
                <w:rFonts w:cs="Arial" w:hint="eastAsia"/>
                <w:b/>
                <w:bCs/>
                <w:sz w:val="18"/>
                <w:szCs w:val="18"/>
              </w:rPr>
              <w:t>国有土地使用权出让收入及对应专项债务收入安排的支出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26,711.30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26,711.30</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2120899</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其他国有土地使用权出让收入安排的支出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26,711.30</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21213</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城市基础设施配套费及对应专项债务收入安排的支出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15.00</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2121399</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其他城市基础设施配套费安排的支出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15.00</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住房保障支出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22102</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住房改革支出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2210201</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住房公积金</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2210203</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购房补贴</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22904</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其他政府性基金及对应专项债务收入安排的支出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4,668.51</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037"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2290400</w:t>
            </w:r>
          </w:p>
        </w:tc>
        <w:tc>
          <w:tcPr>
            <w:tcW w:w="24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其他政府性基金及对应专项债务收入安排的支出</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4,668.51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4,668.51</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本年收入合计</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52,199.58</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本年支出合计</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52,199.58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20,804.77</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31,394.81</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年初财政拨款结转和结余</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103.24</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年末财政拨款结转和结余</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103.24</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一般公共预算财政拨款</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103.24</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政府性基金预算财政拨款</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w:t>
            </w:r>
          </w:p>
        </w:tc>
      </w:tr>
      <w:tr w:rsidR="006813DE" w:rsidTr="00A42ED9">
        <w:trPr>
          <w:trHeight w:val="300"/>
        </w:trPr>
        <w:tc>
          <w:tcPr>
            <w:tcW w:w="1110"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总计</w:t>
            </w:r>
          </w:p>
        </w:tc>
        <w:tc>
          <w:tcPr>
            <w:tcW w:w="112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52,302.82</w:t>
            </w:r>
          </w:p>
        </w:tc>
        <w:tc>
          <w:tcPr>
            <w:tcW w:w="3446"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b/>
                <w:bCs/>
                <w:sz w:val="20"/>
                <w:szCs w:val="20"/>
              </w:rPr>
            </w:pPr>
            <w:r>
              <w:rPr>
                <w:rFonts w:cs="Arial" w:hint="eastAsia"/>
                <w:b/>
                <w:bCs/>
                <w:sz w:val="20"/>
                <w:szCs w:val="20"/>
              </w:rPr>
              <w:t>总计</w:t>
            </w:r>
          </w:p>
        </w:tc>
        <w:tc>
          <w:tcPr>
            <w:tcW w:w="1134"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52,302.82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20,908.01</w:t>
            </w:r>
          </w:p>
        </w:tc>
        <w:tc>
          <w:tcPr>
            <w:tcW w:w="1276"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31,394.81</w:t>
            </w:r>
          </w:p>
        </w:tc>
      </w:tr>
      <w:tr w:rsidR="006813DE" w:rsidTr="00A42ED9">
        <w:trPr>
          <w:trHeight w:val="300"/>
        </w:trPr>
        <w:tc>
          <w:tcPr>
            <w:tcW w:w="9229" w:type="dxa"/>
            <w:gridSpan w:val="8"/>
            <w:shd w:val="clear" w:color="auto" w:fill="FFFFFF"/>
            <w:noWrap/>
            <w:vAlign w:val="center"/>
          </w:tcPr>
          <w:p w:rsidR="006813DE" w:rsidRDefault="00015ACD">
            <w:pPr>
              <w:rPr>
                <w:rFonts w:cs="Arial"/>
                <w:sz w:val="20"/>
                <w:szCs w:val="20"/>
              </w:rPr>
            </w:pPr>
            <w:r>
              <w:rPr>
                <w:rFonts w:cs="Arial" w:hint="eastAsia"/>
                <w:sz w:val="20"/>
                <w:szCs w:val="20"/>
              </w:rPr>
              <w:t>注：本表反应部门本年度一般公共预算财政拨款和政府性基金预算财政拨款的总收支和年末结转结余情况。本表金额转化为万元时，因四舍五入可能存在尾差。</w:t>
            </w:r>
          </w:p>
        </w:tc>
      </w:tr>
    </w:tbl>
    <w:p w:rsidR="006813DE" w:rsidRDefault="006813DE">
      <w:pPr>
        <w:shd w:val="clear" w:color="auto" w:fill="FFFFFF"/>
        <w:spacing w:line="600" w:lineRule="atLeast"/>
        <w:ind w:firstLine="640"/>
        <w:jc w:val="both"/>
        <w:rPr>
          <w:rStyle w:val="a6"/>
          <w:rFonts w:ascii="黑体" w:eastAsia="黑体" w:hAnsi="黑体" w:cs="Arial"/>
          <w:sz w:val="32"/>
          <w:szCs w:val="32"/>
        </w:rPr>
      </w:pPr>
    </w:p>
    <w:tbl>
      <w:tblPr>
        <w:tblW w:w="9229" w:type="dxa"/>
        <w:tblInd w:w="93" w:type="dxa"/>
        <w:tblLayout w:type="fixed"/>
        <w:tblLook w:val="04A0"/>
      </w:tblPr>
      <w:tblGrid>
        <w:gridCol w:w="408"/>
        <w:gridCol w:w="409"/>
        <w:gridCol w:w="409"/>
        <w:gridCol w:w="3626"/>
        <w:gridCol w:w="1244"/>
        <w:gridCol w:w="156"/>
        <w:gridCol w:w="1418"/>
        <w:gridCol w:w="1559"/>
      </w:tblGrid>
      <w:tr w:rsidR="006813DE" w:rsidTr="00A42ED9">
        <w:trPr>
          <w:trHeight w:val="555"/>
        </w:trPr>
        <w:tc>
          <w:tcPr>
            <w:tcW w:w="9229" w:type="dxa"/>
            <w:gridSpan w:val="8"/>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一般公共预算财政拨款支出决算表</w:t>
            </w:r>
          </w:p>
        </w:tc>
      </w:tr>
      <w:tr w:rsidR="006813DE" w:rsidTr="00A42ED9">
        <w:trPr>
          <w:trHeight w:val="300"/>
        </w:trPr>
        <w:tc>
          <w:tcPr>
            <w:tcW w:w="9229" w:type="dxa"/>
            <w:gridSpan w:val="8"/>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6096" w:type="dxa"/>
            <w:gridSpan w:val="5"/>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3133" w:type="dxa"/>
            <w:gridSpan w:val="3"/>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公开07表</w:t>
            </w:r>
          </w:p>
        </w:tc>
      </w:tr>
      <w:tr w:rsidR="006813DE" w:rsidTr="00A42ED9">
        <w:trPr>
          <w:trHeight w:val="300"/>
        </w:trPr>
        <w:tc>
          <w:tcPr>
            <w:tcW w:w="4852" w:type="dxa"/>
            <w:gridSpan w:val="4"/>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rsidP="00D050BA">
            <w:pPr>
              <w:jc w:val="center"/>
              <w:rPr>
                <w:rFonts w:cs="Arial"/>
                <w:sz w:val="20"/>
                <w:szCs w:val="20"/>
              </w:rPr>
            </w:pPr>
            <w:r>
              <w:rPr>
                <w:rFonts w:cs="Arial" w:hint="eastAsia"/>
                <w:sz w:val="20"/>
                <w:szCs w:val="20"/>
              </w:rPr>
              <w:t>项</w:t>
            </w:r>
            <w:r w:rsidR="00572295">
              <w:rPr>
                <w:rFonts w:cs="Arial" w:hint="eastAsia"/>
                <w:sz w:val="20"/>
                <w:szCs w:val="20"/>
              </w:rPr>
              <w:t xml:space="preserve"> </w:t>
            </w:r>
            <w:r>
              <w:rPr>
                <w:rFonts w:cs="Arial" w:hint="eastAsia"/>
                <w:sz w:val="20"/>
                <w:szCs w:val="20"/>
              </w:rPr>
              <w:t>目</w:t>
            </w:r>
          </w:p>
        </w:tc>
        <w:tc>
          <w:tcPr>
            <w:tcW w:w="4377" w:type="dxa"/>
            <w:gridSpan w:val="4"/>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本年支出</w:t>
            </w:r>
          </w:p>
        </w:tc>
      </w:tr>
      <w:tr w:rsidR="006813DE" w:rsidTr="00A42ED9">
        <w:trPr>
          <w:trHeight w:val="312"/>
        </w:trPr>
        <w:tc>
          <w:tcPr>
            <w:tcW w:w="1226" w:type="dxa"/>
            <w:gridSpan w:val="3"/>
            <w:vMerge w:val="restart"/>
            <w:tcBorders>
              <w:top w:val="nil"/>
              <w:left w:val="single" w:sz="4" w:space="0" w:color="000000"/>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支出功能分类科目编码</w:t>
            </w:r>
          </w:p>
        </w:tc>
        <w:tc>
          <w:tcPr>
            <w:tcW w:w="3626"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1400" w:type="dxa"/>
            <w:gridSpan w:val="2"/>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小计</w:t>
            </w:r>
          </w:p>
        </w:tc>
        <w:tc>
          <w:tcPr>
            <w:tcW w:w="1418"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基本支出</w:t>
            </w:r>
          </w:p>
        </w:tc>
        <w:tc>
          <w:tcPr>
            <w:tcW w:w="1559"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项目支出</w:t>
            </w:r>
          </w:p>
        </w:tc>
      </w:tr>
      <w:tr w:rsidR="006813DE" w:rsidTr="00A42ED9">
        <w:trPr>
          <w:trHeight w:val="312"/>
        </w:trPr>
        <w:tc>
          <w:tcPr>
            <w:tcW w:w="1226"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3626"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400"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418"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55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12"/>
        </w:trPr>
        <w:tc>
          <w:tcPr>
            <w:tcW w:w="1226"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3626"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400" w:type="dxa"/>
            <w:gridSpan w:val="2"/>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418"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155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r>
      <w:tr w:rsidR="006813DE" w:rsidTr="00A42ED9">
        <w:trPr>
          <w:trHeight w:val="300"/>
        </w:trPr>
        <w:tc>
          <w:tcPr>
            <w:tcW w:w="408" w:type="dxa"/>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类</w:t>
            </w:r>
          </w:p>
        </w:tc>
        <w:tc>
          <w:tcPr>
            <w:tcW w:w="409"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款</w:t>
            </w:r>
          </w:p>
        </w:tc>
        <w:tc>
          <w:tcPr>
            <w:tcW w:w="409"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项</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rsidP="00572295">
            <w:pPr>
              <w:jc w:val="center"/>
              <w:rPr>
                <w:rFonts w:cs="Arial"/>
                <w:sz w:val="20"/>
                <w:szCs w:val="20"/>
              </w:rPr>
            </w:pPr>
            <w:r>
              <w:rPr>
                <w:rFonts w:cs="Arial" w:hint="eastAsia"/>
                <w:sz w:val="20"/>
                <w:szCs w:val="20"/>
              </w:rPr>
              <w:t>栏次</w:t>
            </w:r>
          </w:p>
        </w:tc>
        <w:tc>
          <w:tcPr>
            <w:tcW w:w="1400" w:type="dxa"/>
            <w:gridSpan w:val="2"/>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1</w:t>
            </w:r>
          </w:p>
        </w:tc>
        <w:tc>
          <w:tcPr>
            <w:tcW w:w="1418"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2</w:t>
            </w:r>
          </w:p>
        </w:tc>
        <w:tc>
          <w:tcPr>
            <w:tcW w:w="1559"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3</w:t>
            </w:r>
          </w:p>
        </w:tc>
      </w:tr>
      <w:tr w:rsidR="006813DE" w:rsidTr="00A42ED9">
        <w:trPr>
          <w:trHeight w:val="300"/>
        </w:trPr>
        <w:tc>
          <w:tcPr>
            <w:tcW w:w="408" w:type="dxa"/>
            <w:vMerge/>
            <w:tcBorders>
              <w:top w:val="nil"/>
              <w:left w:val="single" w:sz="4" w:space="0" w:color="000000"/>
              <w:bottom w:val="single" w:sz="4" w:space="0" w:color="000000"/>
              <w:right w:val="single" w:sz="4" w:space="0" w:color="000000"/>
            </w:tcBorders>
            <w:vAlign w:val="center"/>
          </w:tcPr>
          <w:p w:rsidR="006813DE" w:rsidRDefault="006813DE">
            <w:pPr>
              <w:rPr>
                <w:rFonts w:cs="Arial"/>
                <w:sz w:val="20"/>
                <w:szCs w:val="20"/>
              </w:rPr>
            </w:pPr>
          </w:p>
        </w:tc>
        <w:tc>
          <w:tcPr>
            <w:tcW w:w="4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409" w:type="dxa"/>
            <w:vMerge/>
            <w:tcBorders>
              <w:top w:val="nil"/>
              <w:left w:val="nil"/>
              <w:bottom w:val="single" w:sz="4" w:space="0" w:color="000000"/>
              <w:right w:val="single" w:sz="4" w:space="0" w:color="000000"/>
            </w:tcBorders>
            <w:vAlign w:val="center"/>
          </w:tcPr>
          <w:p w:rsidR="006813DE" w:rsidRDefault="006813DE">
            <w:pPr>
              <w:rPr>
                <w:rFonts w:cs="Arial"/>
                <w:sz w:val="20"/>
                <w:szCs w:val="20"/>
              </w:rPr>
            </w:pP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合计</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20,804.77</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12,628.44</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8,176.33</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社会保障和就业支出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20805</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行政事业单位离退休</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1,682.13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2080505</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机关事业单位基本养老保险缴费支出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1,200.03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2080506</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机关事业单位职业年金缴费支出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482.10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医疗卫生与计划生育支出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21011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行政事业单位医疗</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956.90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行政单位医疗</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124.82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2101102</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事业单位医疗</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832.08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17,209.46</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9,033.13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8,176.33</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城乡社区管理事务</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3,760.17</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3,118.75</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641.42</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行政运行</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2,678.02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2120104</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城管执法</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542.52</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2120107</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市政公用行业市场监管</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281.15</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231.08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50.07</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2120199</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其他城乡社区管理事务支出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258.48</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209.66</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48.82</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21203</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城乡社区公共设施</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1,703.34</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1,619.30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84.04</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2120399</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其他城乡社区公共设施支出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1,703.34</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1,619.30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84.04</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21205</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城乡社区环境卫生</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8"/>
                <w:szCs w:val="18"/>
              </w:rPr>
            </w:pPr>
            <w:r>
              <w:rPr>
                <w:rFonts w:cs="Arial" w:hint="eastAsia"/>
                <w:b/>
                <w:bCs/>
                <w:sz w:val="18"/>
                <w:szCs w:val="18"/>
              </w:rPr>
              <w:t>11,745.94</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4,295.08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7,450.87</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2120501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城乡社区环境卫生</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11,745.94</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4,295.08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7,450.87</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住房保障支出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22102</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20"/>
                <w:szCs w:val="20"/>
              </w:rPr>
            </w:pPr>
            <w:r>
              <w:rPr>
                <w:rFonts w:cs="Arial" w:hint="eastAsia"/>
                <w:b/>
                <w:bCs/>
                <w:sz w:val="20"/>
                <w:szCs w:val="20"/>
              </w:rPr>
              <w:t>住房改革支出</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956.29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20"/>
                <w:szCs w:val="20"/>
              </w:rPr>
            </w:pPr>
            <w:r>
              <w:rPr>
                <w:rFonts w:cs="Arial" w:hint="eastAsia"/>
                <w:b/>
                <w:bCs/>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2210201</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住房公积金</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777.01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1226"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2210203</w:t>
            </w:r>
          </w:p>
        </w:tc>
        <w:tc>
          <w:tcPr>
            <w:tcW w:w="3626"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20"/>
                <w:szCs w:val="20"/>
              </w:rPr>
            </w:pPr>
            <w:r>
              <w:rPr>
                <w:rFonts w:cs="Arial" w:hint="eastAsia"/>
                <w:sz w:val="20"/>
                <w:szCs w:val="20"/>
              </w:rPr>
              <w:t xml:space="preserve">  购房补贴</w:t>
            </w:r>
          </w:p>
        </w:tc>
        <w:tc>
          <w:tcPr>
            <w:tcW w:w="140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418"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179.27</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20"/>
                <w:szCs w:val="20"/>
              </w:rPr>
            </w:pPr>
            <w:r>
              <w:rPr>
                <w:rFonts w:cs="Arial" w:hint="eastAsia"/>
                <w:sz w:val="20"/>
                <w:szCs w:val="20"/>
              </w:rPr>
              <w:t xml:space="preserve">　</w:t>
            </w:r>
          </w:p>
        </w:tc>
      </w:tr>
      <w:tr w:rsidR="006813DE" w:rsidTr="00A42ED9">
        <w:trPr>
          <w:trHeight w:val="300"/>
        </w:trPr>
        <w:tc>
          <w:tcPr>
            <w:tcW w:w="9229" w:type="dxa"/>
            <w:gridSpan w:val="8"/>
            <w:shd w:val="clear" w:color="auto" w:fill="FFFFFF"/>
            <w:noWrap/>
            <w:vAlign w:val="center"/>
          </w:tcPr>
          <w:p w:rsidR="006813DE" w:rsidRDefault="00015ACD">
            <w:pPr>
              <w:rPr>
                <w:rFonts w:cs="Arial"/>
                <w:sz w:val="20"/>
                <w:szCs w:val="20"/>
              </w:rPr>
            </w:pPr>
            <w:r>
              <w:rPr>
                <w:rFonts w:cs="Arial" w:hint="eastAsia"/>
                <w:sz w:val="20"/>
                <w:szCs w:val="20"/>
              </w:rPr>
              <w:t>注：本表反应部门本年度一般公共预算财政拨款支出情况。本表金额转化为万元时，因四舍五入可能存在尾差。</w:t>
            </w:r>
          </w:p>
        </w:tc>
      </w:tr>
    </w:tbl>
    <w:p w:rsidR="006813DE" w:rsidRDefault="006813DE" w:rsidP="00E77A61">
      <w:pPr>
        <w:shd w:val="clear" w:color="auto" w:fill="FFFFFF"/>
        <w:spacing w:line="600" w:lineRule="atLeast"/>
        <w:jc w:val="both"/>
        <w:rPr>
          <w:rStyle w:val="a6"/>
          <w:rFonts w:ascii="黑体" w:eastAsia="黑体" w:hAnsi="黑体" w:cs="Arial"/>
          <w:sz w:val="32"/>
          <w:szCs w:val="32"/>
        </w:rPr>
      </w:pPr>
    </w:p>
    <w:tbl>
      <w:tblPr>
        <w:tblW w:w="9229" w:type="dxa"/>
        <w:tblInd w:w="93" w:type="dxa"/>
        <w:tblLayout w:type="fixed"/>
        <w:tblLook w:val="04A0"/>
      </w:tblPr>
      <w:tblGrid>
        <w:gridCol w:w="713"/>
        <w:gridCol w:w="1429"/>
        <w:gridCol w:w="992"/>
        <w:gridCol w:w="709"/>
        <w:gridCol w:w="1134"/>
        <w:gridCol w:w="359"/>
        <w:gridCol w:w="491"/>
        <w:gridCol w:w="78"/>
        <w:gridCol w:w="631"/>
        <w:gridCol w:w="1559"/>
        <w:gridCol w:w="1134"/>
      </w:tblGrid>
      <w:tr w:rsidR="006813DE" w:rsidTr="00A42ED9">
        <w:trPr>
          <w:trHeight w:val="555"/>
        </w:trPr>
        <w:tc>
          <w:tcPr>
            <w:tcW w:w="9229" w:type="dxa"/>
            <w:gridSpan w:val="11"/>
            <w:shd w:val="clear" w:color="auto" w:fill="FFFFFF"/>
            <w:noWrap/>
            <w:vAlign w:val="center"/>
          </w:tcPr>
          <w:p w:rsidR="006813DE" w:rsidRDefault="00015ACD">
            <w:pPr>
              <w:jc w:val="center"/>
              <w:rPr>
                <w:rFonts w:ascii="黑体" w:eastAsia="黑体" w:hAnsi="黑体" w:cs="Arial"/>
                <w:color w:val="000000"/>
                <w:sz w:val="44"/>
                <w:szCs w:val="44"/>
              </w:rPr>
            </w:pPr>
            <w:r>
              <w:rPr>
                <w:rFonts w:ascii="黑体" w:eastAsia="黑体" w:hAnsi="黑体" w:cs="Arial" w:hint="eastAsia"/>
                <w:color w:val="000000"/>
                <w:sz w:val="36"/>
                <w:szCs w:val="36"/>
              </w:rPr>
              <w:t>一般公共预算财政拨款基本支出决算表</w:t>
            </w:r>
          </w:p>
        </w:tc>
      </w:tr>
      <w:tr w:rsidR="006813DE" w:rsidTr="00A42ED9">
        <w:trPr>
          <w:trHeight w:val="300"/>
        </w:trPr>
        <w:tc>
          <w:tcPr>
            <w:tcW w:w="9229" w:type="dxa"/>
            <w:gridSpan w:val="11"/>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4977" w:type="dxa"/>
            <w:gridSpan w:val="5"/>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359" w:type="dxa"/>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569"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3324" w:type="dxa"/>
            <w:gridSpan w:val="3"/>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公开08表</w:t>
            </w:r>
          </w:p>
        </w:tc>
      </w:tr>
      <w:tr w:rsidR="006813DE" w:rsidTr="00A42ED9">
        <w:trPr>
          <w:trHeight w:val="300"/>
        </w:trPr>
        <w:tc>
          <w:tcPr>
            <w:tcW w:w="3134"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人员经费</w:t>
            </w:r>
          </w:p>
        </w:tc>
        <w:tc>
          <w:tcPr>
            <w:tcW w:w="6095" w:type="dxa"/>
            <w:gridSpan w:val="8"/>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公用经费</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科目编码</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科目编码</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科目编码</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科目名称</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工资福利支出</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11,080.16</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商品和服务支出</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1,241.12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物资储备</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30101</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基本工资</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1,951.03</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办公费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138.62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公务用车购置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30102</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津贴补贴</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680.38</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印刷费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7.92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30919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其他交通工具购置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30103</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奖金</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2,035.04</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咨询费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0.87</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30921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文物和陈列品购置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30106</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伙食补助费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90.84</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手续费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0.90</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30922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无形资产购置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30107</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绩效工资</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2,122.65</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水费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6.46</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其他基本建设支出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30108</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机关事业单位基本养老保险缴费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1,200.03</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电费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50.10</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资本性支出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2.59</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lastRenderedPageBreak/>
              <w:t>30109</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职业年金缴费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482.10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邮电费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32.75</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房屋建筑物购建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30110</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职工基本医疗保险缴费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178.64</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取暖费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办公设备购置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2.24</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30111</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公务员医疗补助缴费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687.08</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30209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物业管理费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16.32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专用设备购置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30112</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其他社会保障缴费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63.67</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差旅费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35.08</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31005</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基础设施建设</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30113</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住房公积金</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777.01</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因公出国（境）费用</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3.89</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31006</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大型修缮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30114</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医疗费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91.18</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维修(护)费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34.09</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31007</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信息网络及软件购置更新</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0.21</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30199</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其他工资福利支出</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720.50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租赁费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物资储备</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对个人和家庭的补助</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304.57</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会议费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3.75</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31009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土地补偿</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30301</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离休费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31.50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培训费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40.72</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31010</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安置补助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30302</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退休费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4.40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公务接待费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4.58</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31011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地上附着物和青苗补偿</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30303</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退职（役）费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5.22</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30218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专用材料费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31012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拆迁补偿</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30304</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抚恤金</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6.63</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被装购置费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公务用车购置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30305</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生活补助</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92.79</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专用燃料费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31019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其他交通工具购置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30306</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救济费</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劳务费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125.56</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31021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文物和陈列品购置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30307</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医疗费补助</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6.10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委托业务费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18.37</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31022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无形资产购置</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30308</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助学金</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30228</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工会经费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113.08</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31099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其他资本性支出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0.15</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30309</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奖励金</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30229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福利费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260.30</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对企业补助（基本建设）</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30310</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个人农业生产补贴</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30231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公务用车运行维护费</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57.57</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31101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资本金注入</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30399</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其他对个人和家庭的补助支出</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157.92</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30239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其他交通费用</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138.61</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31199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其他对企业补助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30240</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税金及附加费用</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对企业补助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30299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其他商品和服务支出</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151.56</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31201</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资本金注入</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债务利息及费用支出</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31203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政府投资基金股权投资</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30701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国内债务付息</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31204</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费用补贴</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15"/>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30702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国外债务付息</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31205</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利息补贴</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30703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国内债务发行费用</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31299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其他对企业补助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30704</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国外债务发行费用</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对社会保障基金补助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资本性支出（基本建设）</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31302</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对社会保险基金补助</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30901</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房屋建筑物购建</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31303</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补充全国社会保障基金</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30902</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办公设备购置</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其他支出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30903</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专用设备购置</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39906</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赠与</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30905</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基础设施建设</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39907</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国家赔偿费用支出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30906</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大型修缮</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39908</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对民间非营利组织和群众性自治组织补贴</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713" w:type="dxa"/>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lastRenderedPageBreak/>
              <w:t xml:space="preserve">　</w:t>
            </w:r>
          </w:p>
        </w:tc>
        <w:tc>
          <w:tcPr>
            <w:tcW w:w="142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30907</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信息网络及软件购置更新</w:t>
            </w:r>
          </w:p>
        </w:tc>
        <w:tc>
          <w:tcPr>
            <w:tcW w:w="850"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一</w:t>
            </w:r>
          </w:p>
        </w:tc>
        <w:tc>
          <w:tcPr>
            <w:tcW w:w="709"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39999</w:t>
            </w:r>
          </w:p>
        </w:tc>
        <w:tc>
          <w:tcPr>
            <w:tcW w:w="1559" w:type="dxa"/>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其他支出</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2142" w:type="dxa"/>
            <w:gridSpan w:val="2"/>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b/>
                <w:bCs/>
                <w:sz w:val="16"/>
                <w:szCs w:val="16"/>
              </w:rPr>
            </w:pPr>
            <w:r>
              <w:rPr>
                <w:rFonts w:cs="Arial" w:hint="eastAsia"/>
                <w:b/>
                <w:bCs/>
                <w:sz w:val="16"/>
                <w:szCs w:val="16"/>
              </w:rPr>
              <w:t>人员经费合计</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11,384.73</w:t>
            </w:r>
          </w:p>
        </w:tc>
        <w:tc>
          <w:tcPr>
            <w:tcW w:w="4961" w:type="dxa"/>
            <w:gridSpan w:val="7"/>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b/>
                <w:bCs/>
                <w:sz w:val="16"/>
                <w:szCs w:val="16"/>
              </w:rPr>
            </w:pPr>
            <w:r>
              <w:rPr>
                <w:rFonts w:cs="Arial" w:hint="eastAsia"/>
                <w:b/>
                <w:bCs/>
                <w:sz w:val="16"/>
                <w:szCs w:val="16"/>
              </w:rPr>
              <w:t>公用经费合计</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1,243.72</w:t>
            </w:r>
          </w:p>
        </w:tc>
      </w:tr>
      <w:tr w:rsidR="006813DE" w:rsidTr="00A42ED9">
        <w:trPr>
          <w:trHeight w:val="300"/>
        </w:trPr>
        <w:tc>
          <w:tcPr>
            <w:tcW w:w="9229" w:type="dxa"/>
            <w:gridSpan w:val="11"/>
            <w:shd w:val="clear" w:color="auto" w:fill="FFFFFF"/>
            <w:noWrap/>
            <w:vAlign w:val="center"/>
          </w:tcPr>
          <w:p w:rsidR="006813DE" w:rsidRDefault="00015ACD">
            <w:pPr>
              <w:rPr>
                <w:rFonts w:cs="Arial"/>
                <w:sz w:val="20"/>
                <w:szCs w:val="20"/>
              </w:rPr>
            </w:pPr>
            <w:r>
              <w:rPr>
                <w:rFonts w:cs="Arial" w:hint="eastAsia"/>
                <w:sz w:val="20"/>
                <w:szCs w:val="20"/>
              </w:rPr>
              <w:t>注：本表反应部门本年度一般公共预算财政拨款基本支出明细情况。本表金额转化为万元时，因四舍五入可能存在尾差。</w:t>
            </w:r>
          </w:p>
        </w:tc>
      </w:tr>
    </w:tbl>
    <w:p w:rsidR="006813DE" w:rsidRDefault="006813DE" w:rsidP="00E77A61">
      <w:pPr>
        <w:shd w:val="clear" w:color="auto" w:fill="FFFFFF"/>
        <w:spacing w:line="600" w:lineRule="atLeast"/>
        <w:jc w:val="both"/>
        <w:rPr>
          <w:rStyle w:val="a6"/>
          <w:rFonts w:ascii="黑体" w:eastAsia="黑体" w:hAnsi="黑体" w:cs="Arial"/>
          <w:sz w:val="32"/>
          <w:szCs w:val="32"/>
        </w:rPr>
      </w:pPr>
    </w:p>
    <w:tbl>
      <w:tblPr>
        <w:tblW w:w="9229" w:type="dxa"/>
        <w:tblInd w:w="93" w:type="dxa"/>
        <w:tblLayout w:type="fixed"/>
        <w:tblLook w:val="04A0"/>
      </w:tblPr>
      <w:tblGrid>
        <w:gridCol w:w="396"/>
        <w:gridCol w:w="395"/>
        <w:gridCol w:w="332"/>
        <w:gridCol w:w="216"/>
        <w:gridCol w:w="2279"/>
        <w:gridCol w:w="792"/>
        <w:gridCol w:w="1134"/>
        <w:gridCol w:w="539"/>
        <w:gridCol w:w="453"/>
        <w:gridCol w:w="482"/>
        <w:gridCol w:w="510"/>
        <w:gridCol w:w="992"/>
        <w:gridCol w:w="709"/>
      </w:tblGrid>
      <w:tr w:rsidR="006813DE" w:rsidTr="00A42ED9">
        <w:trPr>
          <w:trHeight w:val="555"/>
        </w:trPr>
        <w:tc>
          <w:tcPr>
            <w:tcW w:w="9229" w:type="dxa"/>
            <w:gridSpan w:val="13"/>
            <w:shd w:val="clear" w:color="auto" w:fill="FFFFFF"/>
            <w:noWrap/>
            <w:vAlign w:val="center"/>
          </w:tcPr>
          <w:p w:rsidR="006813DE" w:rsidRDefault="00E77A61" w:rsidP="00E77A61">
            <w:pPr>
              <w:jc w:val="center"/>
              <w:rPr>
                <w:rFonts w:ascii="黑体" w:eastAsia="黑体" w:hAnsi="黑体" w:cs="Arial"/>
                <w:color w:val="000000"/>
                <w:sz w:val="44"/>
                <w:szCs w:val="44"/>
              </w:rPr>
            </w:pPr>
            <w:r>
              <w:rPr>
                <w:rFonts w:ascii="黑体" w:eastAsia="黑体" w:hAnsi="黑体" w:cs="Arial" w:hint="eastAsia"/>
                <w:color w:val="000000"/>
                <w:sz w:val="36"/>
                <w:szCs w:val="36"/>
              </w:rPr>
              <w:t>政府性基金预算财政拨款收入支出决算表</w:t>
            </w:r>
          </w:p>
        </w:tc>
      </w:tr>
      <w:tr w:rsidR="006813DE" w:rsidTr="00A42ED9">
        <w:trPr>
          <w:trHeight w:val="300"/>
        </w:trPr>
        <w:tc>
          <w:tcPr>
            <w:tcW w:w="9229" w:type="dxa"/>
            <w:gridSpan w:val="13"/>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5544" w:type="dxa"/>
            <w:gridSpan w:val="7"/>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539" w:type="dxa"/>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935" w:type="dxa"/>
            <w:gridSpan w:val="2"/>
            <w:tcBorders>
              <w:top w:val="nil"/>
              <w:left w:val="nil"/>
              <w:bottom w:val="single" w:sz="4" w:space="0" w:color="808080"/>
              <w:right w:val="nil"/>
            </w:tcBorders>
            <w:shd w:val="clear" w:color="auto" w:fill="FFFFFF"/>
            <w:noWrap/>
            <w:vAlign w:val="center"/>
          </w:tcPr>
          <w:p w:rsidR="006813DE" w:rsidRDefault="00015ACD">
            <w:pPr>
              <w:rPr>
                <w:rFonts w:cs="Arial"/>
                <w:sz w:val="18"/>
                <w:szCs w:val="18"/>
              </w:rPr>
            </w:pPr>
            <w:r>
              <w:rPr>
                <w:rFonts w:cs="Arial" w:hint="eastAsia"/>
                <w:sz w:val="18"/>
                <w:szCs w:val="18"/>
              </w:rPr>
              <w:t xml:space="preserve">　</w:t>
            </w:r>
          </w:p>
        </w:tc>
        <w:tc>
          <w:tcPr>
            <w:tcW w:w="2211" w:type="dxa"/>
            <w:gridSpan w:val="3"/>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公开09表</w:t>
            </w:r>
          </w:p>
        </w:tc>
      </w:tr>
      <w:tr w:rsidR="006813DE" w:rsidTr="00A42ED9">
        <w:trPr>
          <w:trHeight w:val="300"/>
        </w:trPr>
        <w:tc>
          <w:tcPr>
            <w:tcW w:w="3618" w:type="dxa"/>
            <w:gridSpan w:val="5"/>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rsidP="00572295">
            <w:pPr>
              <w:jc w:val="center"/>
              <w:rPr>
                <w:rFonts w:cs="Arial"/>
                <w:sz w:val="16"/>
                <w:szCs w:val="16"/>
              </w:rPr>
            </w:pPr>
            <w:r>
              <w:rPr>
                <w:rFonts w:cs="Arial" w:hint="eastAsia"/>
                <w:sz w:val="16"/>
                <w:szCs w:val="16"/>
              </w:rPr>
              <w:t>项</w:t>
            </w:r>
            <w:r w:rsidR="00572295">
              <w:rPr>
                <w:rFonts w:cs="Arial" w:hint="eastAsia"/>
                <w:sz w:val="16"/>
                <w:szCs w:val="16"/>
              </w:rPr>
              <w:t xml:space="preserve"> </w:t>
            </w:r>
            <w:r>
              <w:rPr>
                <w:rFonts w:cs="Arial" w:hint="eastAsia"/>
                <w:sz w:val="16"/>
                <w:szCs w:val="16"/>
              </w:rPr>
              <w:t>目</w:t>
            </w:r>
          </w:p>
        </w:tc>
        <w:tc>
          <w:tcPr>
            <w:tcW w:w="792"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年初结转和结余</w:t>
            </w:r>
          </w:p>
        </w:tc>
        <w:tc>
          <w:tcPr>
            <w:tcW w:w="1134"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本年收入</w:t>
            </w:r>
          </w:p>
        </w:tc>
        <w:tc>
          <w:tcPr>
            <w:tcW w:w="2976" w:type="dxa"/>
            <w:gridSpan w:val="5"/>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本年支出</w:t>
            </w:r>
          </w:p>
        </w:tc>
        <w:tc>
          <w:tcPr>
            <w:tcW w:w="709"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年末结转和结余</w:t>
            </w:r>
          </w:p>
        </w:tc>
      </w:tr>
      <w:tr w:rsidR="006813DE" w:rsidTr="00A42ED9">
        <w:trPr>
          <w:trHeight w:val="312"/>
        </w:trPr>
        <w:tc>
          <w:tcPr>
            <w:tcW w:w="1123" w:type="dxa"/>
            <w:gridSpan w:val="3"/>
            <w:vMerge w:val="restart"/>
            <w:tcBorders>
              <w:top w:val="nil"/>
              <w:left w:val="single" w:sz="4" w:space="0" w:color="000000"/>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支出功能分类科目编码</w:t>
            </w:r>
          </w:p>
        </w:tc>
        <w:tc>
          <w:tcPr>
            <w:tcW w:w="2495"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科目名称</w:t>
            </w:r>
          </w:p>
        </w:tc>
        <w:tc>
          <w:tcPr>
            <w:tcW w:w="792"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gridSpan w:val="2"/>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小计</w:t>
            </w:r>
          </w:p>
        </w:tc>
        <w:tc>
          <w:tcPr>
            <w:tcW w:w="992" w:type="dxa"/>
            <w:gridSpan w:val="2"/>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基本支出</w:t>
            </w:r>
          </w:p>
        </w:tc>
        <w:tc>
          <w:tcPr>
            <w:tcW w:w="992" w:type="dxa"/>
            <w:vMerge w:val="restart"/>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项目支出</w:t>
            </w: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r>
      <w:tr w:rsidR="006813DE" w:rsidTr="00A42ED9">
        <w:trPr>
          <w:trHeight w:val="312"/>
        </w:trPr>
        <w:tc>
          <w:tcPr>
            <w:tcW w:w="1123"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16"/>
                <w:szCs w:val="16"/>
              </w:rPr>
            </w:pPr>
          </w:p>
        </w:tc>
        <w:tc>
          <w:tcPr>
            <w:tcW w:w="2495"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792"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r>
      <w:tr w:rsidR="006813DE" w:rsidTr="00A42ED9">
        <w:trPr>
          <w:trHeight w:val="208"/>
        </w:trPr>
        <w:tc>
          <w:tcPr>
            <w:tcW w:w="1123" w:type="dxa"/>
            <w:gridSpan w:val="3"/>
            <w:vMerge/>
            <w:tcBorders>
              <w:top w:val="nil"/>
              <w:left w:val="single" w:sz="4" w:space="0" w:color="000000"/>
              <w:bottom w:val="single" w:sz="4" w:space="0" w:color="000000"/>
              <w:right w:val="single" w:sz="4" w:space="0" w:color="000000"/>
            </w:tcBorders>
            <w:vAlign w:val="center"/>
          </w:tcPr>
          <w:p w:rsidR="006813DE" w:rsidRDefault="006813DE">
            <w:pPr>
              <w:rPr>
                <w:rFonts w:cs="Arial"/>
                <w:sz w:val="16"/>
                <w:szCs w:val="16"/>
              </w:rPr>
            </w:pPr>
          </w:p>
        </w:tc>
        <w:tc>
          <w:tcPr>
            <w:tcW w:w="2495"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792"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1134"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992"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709"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r>
      <w:tr w:rsidR="006813DE" w:rsidTr="00A42ED9">
        <w:trPr>
          <w:trHeight w:val="300"/>
        </w:trPr>
        <w:tc>
          <w:tcPr>
            <w:tcW w:w="396" w:type="dxa"/>
            <w:vMerge w:val="restart"/>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类</w:t>
            </w:r>
          </w:p>
        </w:tc>
        <w:tc>
          <w:tcPr>
            <w:tcW w:w="395" w:type="dxa"/>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款</w:t>
            </w:r>
          </w:p>
        </w:tc>
        <w:tc>
          <w:tcPr>
            <w:tcW w:w="548" w:type="dxa"/>
            <w:gridSpan w:val="2"/>
            <w:vMerge w:val="restart"/>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项</w:t>
            </w:r>
          </w:p>
        </w:tc>
        <w:tc>
          <w:tcPr>
            <w:tcW w:w="2279" w:type="dxa"/>
            <w:tcBorders>
              <w:top w:val="nil"/>
              <w:left w:val="nil"/>
              <w:bottom w:val="single" w:sz="4" w:space="0" w:color="000000"/>
              <w:right w:val="single" w:sz="4" w:space="0" w:color="000000"/>
            </w:tcBorders>
            <w:shd w:val="clear" w:color="auto" w:fill="FFFFFF"/>
            <w:noWrap/>
            <w:vAlign w:val="center"/>
          </w:tcPr>
          <w:p w:rsidR="006813DE" w:rsidRDefault="00015ACD" w:rsidP="00572295">
            <w:pPr>
              <w:jc w:val="center"/>
              <w:rPr>
                <w:rFonts w:cs="Arial"/>
                <w:sz w:val="16"/>
                <w:szCs w:val="16"/>
              </w:rPr>
            </w:pPr>
            <w:r>
              <w:rPr>
                <w:rFonts w:cs="Arial" w:hint="eastAsia"/>
                <w:sz w:val="16"/>
                <w:szCs w:val="16"/>
              </w:rPr>
              <w:t>栏次</w:t>
            </w:r>
          </w:p>
        </w:tc>
        <w:tc>
          <w:tcPr>
            <w:tcW w:w="792"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1</w:t>
            </w:r>
          </w:p>
        </w:tc>
        <w:tc>
          <w:tcPr>
            <w:tcW w:w="1134"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2</w:t>
            </w:r>
          </w:p>
        </w:tc>
        <w:tc>
          <w:tcPr>
            <w:tcW w:w="992" w:type="dxa"/>
            <w:gridSpan w:val="2"/>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3</w:t>
            </w:r>
          </w:p>
        </w:tc>
        <w:tc>
          <w:tcPr>
            <w:tcW w:w="992" w:type="dxa"/>
            <w:gridSpan w:val="2"/>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4</w:t>
            </w:r>
          </w:p>
        </w:tc>
        <w:tc>
          <w:tcPr>
            <w:tcW w:w="992"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5</w:t>
            </w:r>
          </w:p>
        </w:tc>
        <w:tc>
          <w:tcPr>
            <w:tcW w:w="709" w:type="dxa"/>
            <w:tcBorders>
              <w:top w:val="nil"/>
              <w:left w:val="nil"/>
              <w:bottom w:val="single" w:sz="4" w:space="0" w:color="000000"/>
              <w:right w:val="single" w:sz="4" w:space="0" w:color="000000"/>
            </w:tcBorders>
            <w:shd w:val="clear" w:color="auto" w:fill="FFFFFF"/>
            <w:vAlign w:val="center"/>
          </w:tcPr>
          <w:p w:rsidR="006813DE" w:rsidRDefault="00015ACD">
            <w:pPr>
              <w:jc w:val="center"/>
              <w:rPr>
                <w:rFonts w:cs="Arial"/>
                <w:sz w:val="16"/>
                <w:szCs w:val="16"/>
              </w:rPr>
            </w:pPr>
            <w:r>
              <w:rPr>
                <w:rFonts w:cs="Arial" w:hint="eastAsia"/>
                <w:sz w:val="16"/>
                <w:szCs w:val="16"/>
              </w:rPr>
              <w:t>6</w:t>
            </w:r>
          </w:p>
        </w:tc>
      </w:tr>
      <w:tr w:rsidR="006813DE" w:rsidTr="00A42ED9">
        <w:trPr>
          <w:trHeight w:val="300"/>
        </w:trPr>
        <w:tc>
          <w:tcPr>
            <w:tcW w:w="396" w:type="dxa"/>
            <w:vMerge/>
            <w:tcBorders>
              <w:top w:val="nil"/>
              <w:left w:val="single" w:sz="4" w:space="0" w:color="000000"/>
              <w:bottom w:val="single" w:sz="4" w:space="0" w:color="000000"/>
              <w:right w:val="single" w:sz="4" w:space="0" w:color="000000"/>
            </w:tcBorders>
            <w:vAlign w:val="center"/>
          </w:tcPr>
          <w:p w:rsidR="006813DE" w:rsidRDefault="006813DE">
            <w:pPr>
              <w:rPr>
                <w:rFonts w:cs="Arial"/>
                <w:sz w:val="16"/>
                <w:szCs w:val="16"/>
              </w:rPr>
            </w:pPr>
          </w:p>
        </w:tc>
        <w:tc>
          <w:tcPr>
            <w:tcW w:w="395" w:type="dxa"/>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548" w:type="dxa"/>
            <w:gridSpan w:val="2"/>
            <w:vMerge/>
            <w:tcBorders>
              <w:top w:val="nil"/>
              <w:left w:val="nil"/>
              <w:bottom w:val="single" w:sz="4" w:space="0" w:color="000000"/>
              <w:right w:val="single" w:sz="4" w:space="0" w:color="000000"/>
            </w:tcBorders>
            <w:vAlign w:val="center"/>
          </w:tcPr>
          <w:p w:rsidR="006813DE" w:rsidRDefault="006813DE">
            <w:pPr>
              <w:rPr>
                <w:rFonts w:cs="Arial"/>
                <w:sz w:val="16"/>
                <w:szCs w:val="16"/>
              </w:rPr>
            </w:pPr>
          </w:p>
        </w:tc>
        <w:tc>
          <w:tcPr>
            <w:tcW w:w="2279"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16"/>
                <w:szCs w:val="16"/>
              </w:rPr>
            </w:pPr>
            <w:r>
              <w:rPr>
                <w:rFonts w:cs="Arial" w:hint="eastAsia"/>
                <w:sz w:val="16"/>
                <w:szCs w:val="16"/>
              </w:rPr>
              <w:t>合计</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31,394.81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31,394.81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2,768.93</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28,625.88</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212</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城乡社区支出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26,726.30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26,726.30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26,726.30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21208</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国有土地使用权出让收入及对应专项债务收入安排的支出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26,711.30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26,711.30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26,711.30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2120899</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其他国有土地使用权出让收入安排的支出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26,711.30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26,711.30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26,711.30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21213</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城市基础设施配套费及对应专项债务收入安排的支出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15.00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15.00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15.00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2121399</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其他城市基础设施配套费安排的支出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15.00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15.00</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15.00</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229</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2,768.93</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1,899.57</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22904</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b/>
                <w:bCs/>
                <w:sz w:val="16"/>
                <w:szCs w:val="16"/>
              </w:rPr>
            </w:pPr>
            <w:r>
              <w:rPr>
                <w:rFonts w:cs="Arial" w:hint="eastAsia"/>
                <w:b/>
                <w:bCs/>
                <w:sz w:val="16"/>
                <w:szCs w:val="16"/>
              </w:rPr>
              <w:t>其他政府性基金及对应专项债务收入安排的支出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2,768.93</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1,899.57</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b/>
                <w:bCs/>
                <w:sz w:val="16"/>
                <w:szCs w:val="16"/>
              </w:rPr>
            </w:pPr>
            <w:r>
              <w:rPr>
                <w:rFonts w:cs="Arial" w:hint="eastAsia"/>
                <w:b/>
                <w:bCs/>
                <w:sz w:val="16"/>
                <w:szCs w:val="16"/>
              </w:rPr>
              <w:t xml:space="preserve">　</w:t>
            </w:r>
          </w:p>
        </w:tc>
      </w:tr>
      <w:tr w:rsidR="006813DE" w:rsidTr="00A42ED9">
        <w:trPr>
          <w:trHeight w:val="300"/>
        </w:trPr>
        <w:tc>
          <w:tcPr>
            <w:tcW w:w="1123" w:type="dxa"/>
            <w:gridSpan w:val="3"/>
            <w:tcBorders>
              <w:top w:val="nil"/>
              <w:left w:val="single" w:sz="4" w:space="0" w:color="000000"/>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2290400</w:t>
            </w:r>
          </w:p>
        </w:tc>
        <w:tc>
          <w:tcPr>
            <w:tcW w:w="2495"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rPr>
                <w:rFonts w:cs="Arial"/>
                <w:sz w:val="16"/>
                <w:szCs w:val="16"/>
              </w:rPr>
            </w:pPr>
            <w:r>
              <w:rPr>
                <w:rFonts w:cs="Arial" w:hint="eastAsia"/>
                <w:sz w:val="16"/>
                <w:szCs w:val="16"/>
              </w:rPr>
              <w:t xml:space="preserve">  其他政府性基金及对应专项债务收入安排的支出</w:t>
            </w:r>
          </w:p>
        </w:tc>
        <w:tc>
          <w:tcPr>
            <w:tcW w:w="7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c>
          <w:tcPr>
            <w:tcW w:w="1134"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4,668.51</w:t>
            </w:r>
          </w:p>
        </w:tc>
        <w:tc>
          <w:tcPr>
            <w:tcW w:w="992" w:type="dxa"/>
            <w:gridSpan w:val="2"/>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2,768.93</w:t>
            </w:r>
          </w:p>
        </w:tc>
        <w:tc>
          <w:tcPr>
            <w:tcW w:w="992"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1,899.57</w:t>
            </w:r>
          </w:p>
        </w:tc>
        <w:tc>
          <w:tcPr>
            <w:tcW w:w="709" w:type="dxa"/>
            <w:tcBorders>
              <w:top w:val="nil"/>
              <w:left w:val="nil"/>
              <w:bottom w:val="single" w:sz="4" w:space="0" w:color="000000"/>
              <w:right w:val="single" w:sz="4" w:space="0" w:color="000000"/>
            </w:tcBorders>
            <w:shd w:val="clear" w:color="auto" w:fill="FFFFFF"/>
            <w:noWrap/>
            <w:vAlign w:val="center"/>
          </w:tcPr>
          <w:p w:rsidR="006813DE" w:rsidRDefault="00015ACD">
            <w:pPr>
              <w:jc w:val="right"/>
              <w:rPr>
                <w:rFonts w:cs="Arial"/>
                <w:sz w:val="16"/>
                <w:szCs w:val="16"/>
              </w:rPr>
            </w:pPr>
            <w:r>
              <w:rPr>
                <w:rFonts w:cs="Arial" w:hint="eastAsia"/>
                <w:sz w:val="16"/>
                <w:szCs w:val="16"/>
              </w:rPr>
              <w:t xml:space="preserve">　</w:t>
            </w:r>
          </w:p>
        </w:tc>
      </w:tr>
      <w:tr w:rsidR="006813DE" w:rsidTr="00A42ED9">
        <w:trPr>
          <w:trHeight w:val="300"/>
        </w:trPr>
        <w:tc>
          <w:tcPr>
            <w:tcW w:w="9229" w:type="dxa"/>
            <w:gridSpan w:val="13"/>
            <w:shd w:val="clear" w:color="auto" w:fill="FFFFFF"/>
            <w:noWrap/>
            <w:vAlign w:val="center"/>
          </w:tcPr>
          <w:p w:rsidR="006813DE" w:rsidRDefault="00015ACD">
            <w:pPr>
              <w:rPr>
                <w:rFonts w:cs="Arial"/>
                <w:sz w:val="20"/>
                <w:szCs w:val="20"/>
              </w:rPr>
            </w:pPr>
            <w:r>
              <w:rPr>
                <w:rFonts w:cs="Arial" w:hint="eastAsia"/>
                <w:sz w:val="20"/>
                <w:szCs w:val="20"/>
              </w:rPr>
              <w:t>注：本表反应部门本年度政府性基金预算财政拨款收入、支出及结转和结余情况。本表金额转化为万元时，因四舍五入可能存在尾差。</w:t>
            </w:r>
          </w:p>
        </w:tc>
      </w:tr>
    </w:tbl>
    <w:p w:rsidR="006813DE" w:rsidRDefault="006813DE">
      <w:pPr>
        <w:shd w:val="clear" w:color="auto" w:fill="FFFFFF"/>
        <w:spacing w:line="600" w:lineRule="atLeast"/>
        <w:ind w:firstLine="640"/>
        <w:jc w:val="both"/>
        <w:rPr>
          <w:rStyle w:val="a6"/>
          <w:rFonts w:ascii="黑体" w:eastAsia="黑体" w:hAnsi="黑体" w:cs="Arial"/>
          <w:sz w:val="32"/>
          <w:szCs w:val="32"/>
        </w:rPr>
      </w:pPr>
    </w:p>
    <w:tbl>
      <w:tblPr>
        <w:tblW w:w="9229" w:type="dxa"/>
        <w:tblInd w:w="93" w:type="dxa"/>
        <w:tblLayout w:type="fixed"/>
        <w:tblLook w:val="04A0"/>
      </w:tblPr>
      <w:tblGrid>
        <w:gridCol w:w="4551"/>
        <w:gridCol w:w="2552"/>
        <w:gridCol w:w="2126"/>
      </w:tblGrid>
      <w:tr w:rsidR="006813DE" w:rsidTr="00A42ED9">
        <w:trPr>
          <w:trHeight w:val="555"/>
        </w:trPr>
        <w:tc>
          <w:tcPr>
            <w:tcW w:w="9229" w:type="dxa"/>
            <w:gridSpan w:val="3"/>
            <w:shd w:val="clear" w:color="auto" w:fill="FFFFFF"/>
            <w:noWrap/>
            <w:vAlign w:val="center"/>
          </w:tcPr>
          <w:p w:rsidR="006813DE" w:rsidRDefault="00015ACD">
            <w:pPr>
              <w:jc w:val="center"/>
              <w:rPr>
                <w:rFonts w:ascii="黑体" w:eastAsia="黑体" w:hAnsi="黑体" w:cs="Arial"/>
                <w:sz w:val="32"/>
                <w:szCs w:val="32"/>
              </w:rPr>
            </w:pPr>
            <w:r>
              <w:rPr>
                <w:rFonts w:ascii="黑体" w:eastAsia="黑体" w:hAnsi="黑体" w:cs="Arial" w:hint="eastAsia"/>
                <w:color w:val="000000"/>
                <w:sz w:val="36"/>
                <w:szCs w:val="36"/>
              </w:rPr>
              <w:t>一般公共预算财政拨款“三公”经费支出决算表</w:t>
            </w:r>
          </w:p>
        </w:tc>
      </w:tr>
      <w:tr w:rsidR="006813DE" w:rsidTr="00A42ED9">
        <w:trPr>
          <w:trHeight w:val="300"/>
        </w:trPr>
        <w:tc>
          <w:tcPr>
            <w:tcW w:w="9229" w:type="dxa"/>
            <w:gridSpan w:val="3"/>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金额单位：万元</w:t>
            </w:r>
          </w:p>
        </w:tc>
      </w:tr>
      <w:tr w:rsidR="006813DE" w:rsidTr="00A42ED9">
        <w:trPr>
          <w:trHeight w:val="300"/>
        </w:trPr>
        <w:tc>
          <w:tcPr>
            <w:tcW w:w="7103" w:type="dxa"/>
            <w:gridSpan w:val="2"/>
            <w:tcBorders>
              <w:top w:val="nil"/>
              <w:left w:val="nil"/>
              <w:bottom w:val="single" w:sz="4" w:space="0" w:color="808080"/>
              <w:right w:val="nil"/>
            </w:tcBorders>
            <w:shd w:val="clear" w:color="auto" w:fill="FFFFFF"/>
            <w:noWrap/>
            <w:vAlign w:val="center"/>
          </w:tcPr>
          <w:p w:rsidR="006813DE" w:rsidRDefault="00015ACD">
            <w:pPr>
              <w:rPr>
                <w:rFonts w:cs="Arial"/>
                <w:color w:val="000000"/>
                <w:sz w:val="22"/>
                <w:szCs w:val="22"/>
              </w:rPr>
            </w:pPr>
            <w:r>
              <w:rPr>
                <w:rFonts w:cs="Arial" w:hint="eastAsia"/>
                <w:color w:val="000000"/>
                <w:sz w:val="22"/>
                <w:szCs w:val="22"/>
              </w:rPr>
              <w:t>编制单位：温州市综合行政执法局（汇总）</w:t>
            </w:r>
          </w:p>
        </w:tc>
        <w:tc>
          <w:tcPr>
            <w:tcW w:w="2126" w:type="dxa"/>
            <w:tcBorders>
              <w:top w:val="nil"/>
              <w:left w:val="nil"/>
              <w:bottom w:val="single" w:sz="4" w:space="0" w:color="808080"/>
              <w:right w:val="nil"/>
            </w:tcBorders>
            <w:shd w:val="clear" w:color="auto" w:fill="FFFFFF"/>
            <w:noWrap/>
            <w:vAlign w:val="center"/>
          </w:tcPr>
          <w:p w:rsidR="006813DE" w:rsidRDefault="00015ACD">
            <w:pPr>
              <w:jc w:val="right"/>
              <w:rPr>
                <w:rFonts w:cs="Arial"/>
                <w:color w:val="000000"/>
                <w:sz w:val="22"/>
                <w:szCs w:val="22"/>
              </w:rPr>
            </w:pPr>
            <w:r>
              <w:rPr>
                <w:rFonts w:cs="Arial" w:hint="eastAsia"/>
                <w:color w:val="000000"/>
                <w:sz w:val="22"/>
                <w:szCs w:val="22"/>
              </w:rPr>
              <w:t>公开10表</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jc w:val="center"/>
              <w:rPr>
                <w:rFonts w:cs="Arial"/>
                <w:sz w:val="20"/>
                <w:szCs w:val="20"/>
              </w:rPr>
            </w:pPr>
            <w:r>
              <w:rPr>
                <w:rFonts w:cs="Arial" w:hint="eastAsia"/>
                <w:sz w:val="20"/>
                <w:szCs w:val="20"/>
              </w:rPr>
              <w:t>项  目</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预算数</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决算数</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“三公”经费支出</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144.54</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100.89</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 xml:space="preserve">  1．因公出国（境）费</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6813DE">
            <w:pPr>
              <w:rPr>
                <w:rFonts w:ascii="Times New Roman" w:eastAsia="Times New Roman" w:hAnsi="Times New Roman" w:cs="Times New Roman"/>
                <w:sz w:val="20"/>
                <w:szCs w:val="20"/>
              </w:rPr>
            </w:pP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3.89</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 xml:space="preserve">  2．公务用车购置及运行维护费</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128.74</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91.93</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 xml:space="preserve">    （1）公务用车购置费</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36.24</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34.36</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 xml:space="preserve">    （2）公务用车运行维护费</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92.50</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57.57</w:t>
            </w:r>
          </w:p>
        </w:tc>
      </w:tr>
      <w:tr w:rsidR="006813DE" w:rsidTr="00A42ED9">
        <w:trPr>
          <w:trHeight w:val="300"/>
        </w:trPr>
        <w:tc>
          <w:tcPr>
            <w:tcW w:w="4551" w:type="dxa"/>
            <w:tcBorders>
              <w:top w:val="nil"/>
              <w:left w:val="single" w:sz="4" w:space="0" w:color="000000"/>
              <w:bottom w:val="single" w:sz="4" w:space="0" w:color="000000"/>
              <w:right w:val="single" w:sz="4" w:space="0" w:color="000000"/>
            </w:tcBorders>
            <w:shd w:val="clear" w:color="auto" w:fill="FFFFFF"/>
            <w:vAlign w:val="center"/>
          </w:tcPr>
          <w:p w:rsidR="006813DE" w:rsidRDefault="00015ACD">
            <w:pPr>
              <w:rPr>
                <w:rFonts w:cs="Arial"/>
                <w:sz w:val="20"/>
                <w:szCs w:val="20"/>
              </w:rPr>
            </w:pPr>
            <w:r>
              <w:rPr>
                <w:rFonts w:cs="Arial" w:hint="eastAsia"/>
                <w:sz w:val="20"/>
                <w:szCs w:val="20"/>
              </w:rPr>
              <w:t xml:space="preserve">  3．公务接待费</w:t>
            </w:r>
          </w:p>
        </w:tc>
        <w:tc>
          <w:tcPr>
            <w:tcW w:w="2552"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15.80</w:t>
            </w:r>
          </w:p>
        </w:tc>
        <w:tc>
          <w:tcPr>
            <w:tcW w:w="2126" w:type="dxa"/>
            <w:tcBorders>
              <w:top w:val="nil"/>
              <w:left w:val="nil"/>
              <w:bottom w:val="single" w:sz="4" w:space="0" w:color="000000"/>
              <w:right w:val="single" w:sz="4" w:space="0" w:color="000000"/>
            </w:tcBorders>
            <w:shd w:val="clear" w:color="auto" w:fill="FFFFFF"/>
            <w:noWrap/>
            <w:vAlign w:val="center"/>
          </w:tcPr>
          <w:p w:rsidR="006813DE" w:rsidRDefault="00015ACD">
            <w:pPr>
              <w:jc w:val="center"/>
              <w:rPr>
                <w:rFonts w:cs="Arial"/>
                <w:sz w:val="20"/>
                <w:szCs w:val="20"/>
              </w:rPr>
            </w:pPr>
            <w:r>
              <w:rPr>
                <w:rFonts w:cs="Arial" w:hint="eastAsia"/>
                <w:sz w:val="20"/>
                <w:szCs w:val="20"/>
              </w:rPr>
              <w:t>5.07</w:t>
            </w:r>
          </w:p>
        </w:tc>
      </w:tr>
      <w:tr w:rsidR="006813DE" w:rsidTr="00A42ED9">
        <w:trPr>
          <w:trHeight w:val="1005"/>
        </w:trPr>
        <w:tc>
          <w:tcPr>
            <w:tcW w:w="9229" w:type="dxa"/>
            <w:gridSpan w:val="3"/>
            <w:shd w:val="clear" w:color="auto" w:fill="FFFFFF"/>
            <w:vAlign w:val="center"/>
          </w:tcPr>
          <w:p w:rsidR="006813DE" w:rsidRDefault="00015ACD">
            <w:pPr>
              <w:rPr>
                <w:rFonts w:cs="Arial"/>
                <w:sz w:val="20"/>
                <w:szCs w:val="20"/>
              </w:rPr>
            </w:pPr>
            <w:r>
              <w:rPr>
                <w:rFonts w:cs="Arial" w:hint="eastAsia"/>
                <w:sz w:val="20"/>
                <w:szCs w:val="20"/>
              </w:rPr>
              <w:t>注：本表反应部门本年度“三公”经费支出预决算情况。其中，预算数为“三公”经费年初预算数，决算数是包括当年一般公共预算财政拨款和以前年度结转资金安排的实际支出。其中：因公出国（境）费用不含教学科研人员学术交流。本表金额转化为万元时，因四舍五入可能存在尾差。</w:t>
            </w:r>
          </w:p>
        </w:tc>
      </w:tr>
    </w:tbl>
    <w:p w:rsidR="006813DE" w:rsidRDefault="00015ACD">
      <w:pPr>
        <w:shd w:val="clear" w:color="auto" w:fill="FFFFFF"/>
        <w:spacing w:line="600" w:lineRule="atLeast"/>
        <w:ind w:firstLineChars="200" w:firstLine="640"/>
        <w:jc w:val="both"/>
      </w:pPr>
      <w:r>
        <w:rPr>
          <w:rStyle w:val="a6"/>
          <w:rFonts w:ascii="黑体" w:eastAsia="黑体" w:hAnsi="黑体" w:cs="Arial" w:hint="eastAsia"/>
          <w:b w:val="0"/>
          <w:bCs w:val="0"/>
          <w:sz w:val="32"/>
          <w:szCs w:val="32"/>
        </w:rPr>
        <w:lastRenderedPageBreak/>
        <w:t>三、温州市综合行政执法局（汇总）2018年度部门决算情况说明</w:t>
      </w:r>
    </w:p>
    <w:p w:rsidR="006813DE" w:rsidRDefault="00015ACD">
      <w:pPr>
        <w:shd w:val="clear" w:color="auto" w:fill="FFFFFF"/>
        <w:spacing w:line="600" w:lineRule="atLeast"/>
        <w:ind w:firstLine="640"/>
        <w:jc w:val="both"/>
      </w:pPr>
      <w:r>
        <w:rPr>
          <w:rStyle w:val="a6"/>
          <w:rFonts w:ascii="楷体" w:eastAsia="楷体" w:hAnsi="楷体" w:cs="Arial" w:hint="eastAsia"/>
          <w:b w:val="0"/>
          <w:bCs w:val="0"/>
          <w:sz w:val="32"/>
          <w:szCs w:val="32"/>
        </w:rPr>
        <w:t>（一）收入支出决算总体情况说明</w:t>
      </w:r>
    </w:p>
    <w:p w:rsidR="006813DE"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收、支总计53,440.38万元，与2017年度相比，收、支总计各减少2,378.52万元，下降4.26%。主要原因是原局属温州市公园管理处、温州市园林绿化养护大队两家单位划转到鹿城区综合行政执法局，相应经费同步划转。</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（二）收入决算情况说明</w:t>
      </w:r>
    </w:p>
    <w:p w:rsidR="006813DE"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收入合计53,337.14万元；包括财政拨款收入52,199.58万元（其中，一般公共预算20,804.77万元，政府性基金预算31,394.81万元），占收入合计97.87%；事业收入0万元，占收入合计0%；经营收入0元，占收入合计0%；其他收入1,137.56万元，占收入合计2.13%。上级补助收入0万元，占收入合计0%。附属单位上缴收入0万元，占收入合计0%。</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（三）支出决算情况说明</w:t>
      </w:r>
    </w:p>
    <w:p w:rsidR="006813DE" w:rsidRDefault="00015ACD">
      <w:pPr>
        <w:shd w:val="clear" w:color="auto" w:fill="FFFFFF"/>
        <w:spacing w:line="600" w:lineRule="atLeast"/>
        <w:ind w:firstLine="640"/>
        <w:jc w:val="both"/>
      </w:pPr>
      <w:r>
        <w:rPr>
          <w:rFonts w:ascii="仿宋" w:eastAsia="仿宋" w:hAnsi="仿宋" w:cs="Arial" w:hint="eastAsia"/>
          <w:sz w:val="32"/>
          <w:szCs w:val="32"/>
        </w:rPr>
        <w:t>本年支出合计53,337.09万元，其中基本支出15,397.38万元，占28.87%；项目支出37,939.71万元，占71.13%；上缴上级支出0万元，占0%；经营支出0万元，占0%；对附属单位补助支出0万元，占0%。</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（四）财政拨款收入支出决算总体情况说明</w:t>
      </w:r>
    </w:p>
    <w:p w:rsidR="006813DE"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2018年度财政拨款收、支总计52,302.82万元，与2017年相比，财政拨款收、支总计各减少3,516.08万元，下降6.30%。主要原因是原局属温州市公园管理处、温州市园林绿化养护大队两家单位划转到鹿城区综合行政执法局，相应经费同步划转。</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（五）一般公共预算财政拨款支出决算情况说明</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1.一般公共预算财政拨款支出决算总体情况。</w:t>
      </w:r>
    </w:p>
    <w:p w:rsidR="006813DE"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一般公共预算财政拨款支出20,804.77万元，占本年支出合计的39.01%。与2017年相比，一般公共预算财政拨款支出减少1,272.72万元，下降5.76%。主要原因是原局属温州市公园管理处、温州市园林绿化养护大队两家单位划转到鹿城区综合行政执法局，相应经费同步划转。</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2.一般公共预算财政拨款支出决算结构情况。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一般公共预算财政拨款支出20,804.77万元，主要用于以下方面：社会保障和就业（类）支出1,682.13万元,占8.09%；医疗卫生与计划生育（类）支出956.90万元,占4.60%；城乡社区（类）支出17,209.46万元,占82.72%；住房保障（类）支出956.29万元,占4.60%；</w:t>
      </w:r>
      <w:r>
        <w:rPr>
          <w:rFonts w:hint="eastAsia"/>
        </w:rPr>
        <w:t xml:space="preserve"> </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3.一般公共预算财政拨款支出决算具体情况。</w:t>
      </w:r>
    </w:p>
    <w:p w:rsidR="006813DE" w:rsidRPr="00BB74BD"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2018年度一般公共预算财政拨款支出年初预算为26,148.17万元，支出决算为20,804.77万元,完成年初预算的79.56%，主要原因是原局属温州市公园管理处、温州</w:t>
      </w:r>
      <w:r>
        <w:rPr>
          <w:rFonts w:ascii="仿宋" w:eastAsia="仿宋" w:hAnsi="仿宋" w:cs="Arial" w:hint="eastAsia"/>
          <w:sz w:val="32"/>
          <w:szCs w:val="32"/>
        </w:rPr>
        <w:lastRenderedPageBreak/>
        <w:t>市园林绿化养护大队两家单位划转到鹿城区综合行政执法</w:t>
      </w:r>
      <w:r w:rsidRPr="00BB74BD">
        <w:rPr>
          <w:rFonts w:ascii="仿宋" w:eastAsia="仿宋" w:hAnsi="仿宋" w:cs="Arial" w:hint="eastAsia"/>
          <w:sz w:val="32"/>
          <w:szCs w:val="32"/>
        </w:rPr>
        <w:t>局，相应经费同步划转。其中：</w:t>
      </w:r>
    </w:p>
    <w:p w:rsidR="006813DE" w:rsidRPr="00BB74BD" w:rsidRDefault="00015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社会保障和就业支出</w:t>
      </w:r>
      <w:r w:rsidR="00725F91" w:rsidRPr="00BB74BD">
        <w:rPr>
          <w:rFonts w:ascii="仿宋" w:eastAsia="仿宋" w:hAnsi="仿宋" w:cs="Arial" w:hint="eastAsia"/>
          <w:sz w:val="32"/>
          <w:szCs w:val="32"/>
        </w:rPr>
        <w:t>（类）行政事业单位离退休（款）机关事业单位基本养老保险缴费支出（项）</w:t>
      </w:r>
      <w:r w:rsidRPr="00BB74BD">
        <w:rPr>
          <w:rFonts w:ascii="仿宋" w:eastAsia="仿宋" w:hAnsi="仿宋" w:cs="Arial" w:hint="eastAsia"/>
          <w:sz w:val="32"/>
          <w:szCs w:val="32"/>
        </w:rPr>
        <w:t>。2018年年初预算为</w:t>
      </w:r>
      <w:r w:rsidR="00725F91" w:rsidRPr="00BB74BD">
        <w:rPr>
          <w:rFonts w:ascii="仿宋" w:eastAsia="仿宋" w:hAnsi="仿宋" w:cs="Arial" w:hint="eastAsia"/>
          <w:sz w:val="32"/>
          <w:szCs w:val="32"/>
        </w:rPr>
        <w:t>1273.94</w:t>
      </w:r>
      <w:r w:rsidRPr="00BB74BD">
        <w:rPr>
          <w:rFonts w:ascii="仿宋" w:eastAsia="仿宋" w:hAnsi="仿宋" w:cs="Arial" w:hint="eastAsia"/>
          <w:sz w:val="32"/>
          <w:szCs w:val="32"/>
        </w:rPr>
        <w:t>万元，2018年支出决算为</w:t>
      </w:r>
      <w:r w:rsidR="00725F91" w:rsidRPr="00BB74BD">
        <w:rPr>
          <w:rFonts w:ascii="仿宋" w:eastAsia="仿宋" w:hAnsi="仿宋" w:cs="Arial" w:hint="eastAsia"/>
          <w:sz w:val="32"/>
          <w:szCs w:val="32"/>
        </w:rPr>
        <w:t>1200.03</w:t>
      </w:r>
      <w:r w:rsidRPr="00BB74BD">
        <w:rPr>
          <w:rFonts w:ascii="仿宋" w:eastAsia="仿宋" w:hAnsi="仿宋" w:cs="Arial" w:hint="eastAsia"/>
          <w:sz w:val="32"/>
          <w:szCs w:val="32"/>
        </w:rPr>
        <w:t>万元，完成年初预算的94.</w:t>
      </w:r>
      <w:r w:rsidR="00725F91" w:rsidRPr="00BB74BD">
        <w:rPr>
          <w:rFonts w:ascii="仿宋" w:eastAsia="仿宋" w:hAnsi="仿宋" w:cs="Arial" w:hint="eastAsia"/>
          <w:sz w:val="32"/>
          <w:szCs w:val="32"/>
        </w:rPr>
        <w:t>20</w:t>
      </w:r>
      <w:r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D67F1E" w:rsidRPr="00BB74BD" w:rsidRDefault="00D67F1E">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社会保障和就业支出（类）行政事业单位离退休（款）机关事业单位职业年金缴费支出（项）。2018年年初预算为509.65万元，2018年支出决算为481.10万元，完成年初预算的94.40%，决算数小于预算数的主要原因是原局属温州市公园管理处、温州市园林绿化养护大队两家单位划转到鹿城区综合行政执法局，相应经费同步划转。</w:t>
      </w:r>
    </w:p>
    <w:p w:rsidR="00D67F1E" w:rsidRPr="00BB74BD" w:rsidRDefault="00015ACD" w:rsidP="00D67F1E">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医疗卫生与计划生育支出</w:t>
      </w:r>
      <w:r w:rsidR="00D67F1E" w:rsidRPr="00BB74BD">
        <w:rPr>
          <w:rFonts w:ascii="仿宋" w:eastAsia="仿宋" w:hAnsi="仿宋" w:cs="Arial" w:hint="eastAsia"/>
          <w:sz w:val="32"/>
          <w:szCs w:val="32"/>
        </w:rPr>
        <w:t>（类）行政事业单位医疗（款）行政单位医疗（项）</w:t>
      </w:r>
      <w:r w:rsidRPr="00BB74BD">
        <w:rPr>
          <w:rFonts w:ascii="仿宋" w:eastAsia="仿宋" w:hAnsi="仿宋" w:cs="Arial" w:hint="eastAsia"/>
          <w:sz w:val="32"/>
          <w:szCs w:val="32"/>
        </w:rPr>
        <w:t>。2018年年初预算为</w:t>
      </w:r>
      <w:r w:rsidR="00D67F1E" w:rsidRPr="00BB74BD">
        <w:rPr>
          <w:rFonts w:ascii="仿宋" w:eastAsia="仿宋" w:hAnsi="仿宋" w:cs="Arial" w:hint="eastAsia"/>
          <w:sz w:val="32"/>
          <w:szCs w:val="32"/>
        </w:rPr>
        <w:t>129.92</w:t>
      </w:r>
      <w:r w:rsidRPr="00BB74BD">
        <w:rPr>
          <w:rFonts w:ascii="仿宋" w:eastAsia="仿宋" w:hAnsi="仿宋" w:cs="Arial" w:hint="eastAsia"/>
          <w:sz w:val="32"/>
          <w:szCs w:val="32"/>
        </w:rPr>
        <w:t>万元，2018年支出决算为</w:t>
      </w:r>
      <w:r w:rsidR="00D67F1E" w:rsidRPr="00BB74BD">
        <w:rPr>
          <w:rFonts w:ascii="仿宋" w:eastAsia="仿宋" w:hAnsi="仿宋" w:cs="Arial" w:hint="eastAsia"/>
          <w:sz w:val="32"/>
          <w:szCs w:val="32"/>
        </w:rPr>
        <w:t>124.82</w:t>
      </w:r>
      <w:r w:rsidRPr="00BB74BD">
        <w:rPr>
          <w:rFonts w:ascii="仿宋" w:eastAsia="仿宋" w:hAnsi="仿宋" w:cs="Arial" w:hint="eastAsia"/>
          <w:sz w:val="32"/>
          <w:szCs w:val="32"/>
        </w:rPr>
        <w:t>万元，完成年初预算的</w:t>
      </w:r>
      <w:r w:rsidR="00D67F1E" w:rsidRPr="00BB74BD">
        <w:rPr>
          <w:rFonts w:ascii="仿宋" w:eastAsia="仿宋" w:hAnsi="仿宋" w:cs="Arial" w:hint="eastAsia"/>
          <w:sz w:val="32"/>
          <w:szCs w:val="32"/>
        </w:rPr>
        <w:t>96.07%</w:t>
      </w:r>
      <w:r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6813DE" w:rsidRPr="00BB74BD" w:rsidRDefault="00D67F1E" w:rsidP="00714E4B">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医疗卫生与计划生育支出（类）行政事业单位医疗（款）事业单位医疗（项）。2018年年初预算为</w:t>
      </w:r>
      <w:r w:rsidR="00714E4B" w:rsidRPr="00BB74BD">
        <w:rPr>
          <w:rFonts w:ascii="仿宋" w:eastAsia="仿宋" w:hAnsi="仿宋" w:cs="Arial" w:hint="eastAsia"/>
          <w:sz w:val="32"/>
          <w:szCs w:val="32"/>
        </w:rPr>
        <w:t>869.75</w:t>
      </w:r>
      <w:r w:rsidRPr="00BB74BD">
        <w:rPr>
          <w:rFonts w:ascii="仿宋" w:eastAsia="仿宋" w:hAnsi="仿宋" w:cs="Arial" w:hint="eastAsia"/>
          <w:sz w:val="32"/>
          <w:szCs w:val="32"/>
        </w:rPr>
        <w:t>万</w:t>
      </w:r>
      <w:r w:rsidRPr="00BB74BD">
        <w:rPr>
          <w:rFonts w:ascii="仿宋" w:eastAsia="仿宋" w:hAnsi="仿宋" w:cs="Arial" w:hint="eastAsia"/>
          <w:sz w:val="32"/>
          <w:szCs w:val="32"/>
        </w:rPr>
        <w:lastRenderedPageBreak/>
        <w:t>元，2018年支出决算为832.08万元，完成年初预算的</w:t>
      </w:r>
      <w:r w:rsidR="00714E4B" w:rsidRPr="00BB74BD">
        <w:rPr>
          <w:rFonts w:ascii="仿宋" w:eastAsia="仿宋" w:hAnsi="仿宋" w:cs="Arial" w:hint="eastAsia"/>
          <w:sz w:val="32"/>
          <w:szCs w:val="32"/>
        </w:rPr>
        <w:t>95.67</w:t>
      </w:r>
      <w:r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6813DE" w:rsidRPr="00BB74BD" w:rsidRDefault="00015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w:t>
      </w:r>
      <w:r w:rsidR="00714E4B" w:rsidRPr="00BB74BD">
        <w:rPr>
          <w:rFonts w:ascii="仿宋" w:eastAsia="仿宋" w:hAnsi="仿宋" w:cs="Arial" w:hint="eastAsia"/>
          <w:sz w:val="32"/>
          <w:szCs w:val="32"/>
        </w:rPr>
        <w:t>（类）城乡社区管理事务（款）行政运行（项）</w:t>
      </w:r>
      <w:r w:rsidRPr="00BB74BD">
        <w:rPr>
          <w:rFonts w:ascii="仿宋" w:eastAsia="仿宋" w:hAnsi="仿宋" w:cs="Arial" w:hint="eastAsia"/>
          <w:sz w:val="32"/>
          <w:szCs w:val="32"/>
        </w:rPr>
        <w:t>。2018年年初预算为</w:t>
      </w:r>
      <w:r w:rsidR="001E7B81" w:rsidRPr="00BB74BD">
        <w:rPr>
          <w:rFonts w:ascii="仿宋" w:eastAsia="仿宋" w:hAnsi="仿宋" w:cs="Arial" w:hint="eastAsia"/>
          <w:sz w:val="32"/>
          <w:szCs w:val="32"/>
        </w:rPr>
        <w:t>2747.13</w:t>
      </w:r>
      <w:r w:rsidRPr="00BB74BD">
        <w:rPr>
          <w:rFonts w:ascii="仿宋" w:eastAsia="仿宋" w:hAnsi="仿宋" w:cs="Arial" w:hint="eastAsia"/>
          <w:sz w:val="32"/>
          <w:szCs w:val="32"/>
        </w:rPr>
        <w:t>万元，2018年支出决算为</w:t>
      </w:r>
      <w:r w:rsidR="0035058F" w:rsidRPr="00BB74BD">
        <w:rPr>
          <w:rFonts w:ascii="仿宋" w:eastAsia="仿宋" w:hAnsi="仿宋" w:cs="Arial" w:hint="eastAsia"/>
          <w:sz w:val="32"/>
          <w:szCs w:val="32"/>
        </w:rPr>
        <w:t>2678.02</w:t>
      </w:r>
      <w:r w:rsidRPr="00BB74BD">
        <w:rPr>
          <w:rFonts w:ascii="仿宋" w:eastAsia="仿宋" w:hAnsi="仿宋" w:cs="Arial" w:hint="eastAsia"/>
          <w:sz w:val="32"/>
          <w:szCs w:val="32"/>
        </w:rPr>
        <w:t>万元，完成年初预算的</w:t>
      </w:r>
      <w:r w:rsidR="00EA6ACD" w:rsidRPr="00BB74BD">
        <w:rPr>
          <w:rFonts w:ascii="仿宋" w:eastAsia="仿宋" w:hAnsi="仿宋" w:cs="Arial" w:hint="eastAsia"/>
          <w:sz w:val="32"/>
          <w:szCs w:val="32"/>
        </w:rPr>
        <w:t>97.48</w:t>
      </w:r>
      <w:r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682B92" w:rsidRPr="00BB74BD" w:rsidRDefault="00EA6ACD" w:rsidP="00682B92">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城乡社区支出（类）城乡社区管理事务（款）城管执法（项）。2018年年初预算为</w:t>
      </w:r>
      <w:r w:rsidR="00682B92" w:rsidRPr="00BB74BD">
        <w:rPr>
          <w:rFonts w:ascii="仿宋" w:eastAsia="仿宋" w:hAnsi="仿宋" w:cs="Arial" w:hint="eastAsia"/>
          <w:sz w:val="32"/>
          <w:szCs w:val="32"/>
        </w:rPr>
        <w:t>573.63</w:t>
      </w:r>
      <w:r w:rsidRPr="00BB74BD">
        <w:rPr>
          <w:rFonts w:ascii="仿宋" w:eastAsia="仿宋" w:hAnsi="仿宋" w:cs="Arial" w:hint="eastAsia"/>
          <w:sz w:val="32"/>
          <w:szCs w:val="32"/>
        </w:rPr>
        <w:t>万元，2018年支出决算为</w:t>
      </w:r>
      <w:r w:rsidR="005E42D7" w:rsidRPr="00BB74BD">
        <w:rPr>
          <w:rFonts w:ascii="仿宋" w:eastAsia="仿宋" w:hAnsi="仿宋" w:cs="Arial" w:hint="eastAsia"/>
          <w:sz w:val="32"/>
          <w:szCs w:val="32"/>
        </w:rPr>
        <w:t>542.52</w:t>
      </w:r>
      <w:r w:rsidRPr="00BB74BD">
        <w:rPr>
          <w:rFonts w:ascii="仿宋" w:eastAsia="仿宋" w:hAnsi="仿宋" w:cs="Arial" w:hint="eastAsia"/>
          <w:sz w:val="32"/>
          <w:szCs w:val="32"/>
        </w:rPr>
        <w:t>万元，完成年初预算的</w:t>
      </w:r>
      <w:r w:rsidR="00682B92" w:rsidRPr="00BB74BD">
        <w:rPr>
          <w:rFonts w:ascii="仿宋" w:eastAsia="仿宋" w:hAnsi="仿宋" w:cs="Arial" w:hint="eastAsia"/>
          <w:sz w:val="32"/>
          <w:szCs w:val="32"/>
        </w:rPr>
        <w:t>94.58</w:t>
      </w:r>
      <w:r w:rsidRPr="00BB74BD">
        <w:rPr>
          <w:rFonts w:ascii="仿宋" w:eastAsia="仿宋" w:hAnsi="仿宋" w:cs="Arial" w:hint="eastAsia"/>
          <w:sz w:val="32"/>
          <w:szCs w:val="32"/>
        </w:rPr>
        <w:t>%，</w:t>
      </w:r>
      <w:r w:rsidR="00682B92"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EA6ACD" w:rsidRPr="00BB74BD" w:rsidRDefault="00EA6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类）城乡社区管理事务（款）市政公用行业市场监管（项）。2018年年初预算为324.89万元，2018年支出决算为281.15万元，完成年初预算的86.54%，决算数小于预算数的主要原因是原局属温州市公园管理处、温州市园林绿化养护大队两家单位划转到鹿城区综合行政执法局，相应经费同步划转。</w:t>
      </w:r>
    </w:p>
    <w:p w:rsidR="00EA6ACD" w:rsidRPr="00BB74BD" w:rsidRDefault="00EA6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lastRenderedPageBreak/>
        <w:t>城乡社区支出（类）城乡社区管理事务（款）其他城乡社区管理事务支出（项）。2018年年初预算为287.86万元，2018年支出决算为</w:t>
      </w:r>
      <w:r w:rsidR="000D49AB" w:rsidRPr="00BB74BD">
        <w:rPr>
          <w:rFonts w:ascii="仿宋" w:eastAsia="仿宋" w:hAnsi="仿宋" w:cs="Arial" w:hint="eastAsia"/>
          <w:sz w:val="32"/>
          <w:szCs w:val="32"/>
        </w:rPr>
        <w:t>258.48</w:t>
      </w:r>
      <w:r w:rsidRPr="00BB74BD">
        <w:rPr>
          <w:rFonts w:ascii="仿宋" w:eastAsia="仿宋" w:hAnsi="仿宋" w:cs="Arial" w:hint="eastAsia"/>
          <w:sz w:val="32"/>
          <w:szCs w:val="32"/>
        </w:rPr>
        <w:t>万元，完成年初预算的</w:t>
      </w:r>
      <w:r w:rsidR="000D49AB" w:rsidRPr="00BB74BD">
        <w:rPr>
          <w:rFonts w:ascii="仿宋" w:eastAsia="仿宋" w:hAnsi="仿宋" w:cs="Arial" w:hint="eastAsia"/>
          <w:sz w:val="32"/>
          <w:szCs w:val="32"/>
        </w:rPr>
        <w:t>89.79</w:t>
      </w:r>
      <w:r w:rsidRPr="00BB74BD">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w:t>
      </w:r>
    </w:p>
    <w:p w:rsidR="000D49AB" w:rsidRPr="00BB74BD" w:rsidRDefault="000D49AB" w:rsidP="000D49AB">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类）城乡社区公共设施（款）其他城乡社区公共设施支出（项）。2018年年初预算为2703.49万元，2018年支出决算为1703.34万元，完成年初预算的63.01%，决算数小于预算数的主要原因是原局属温州市公园管理处、温州市园林绿化养护大队两家单位划转到鹿城区综合行政执法局，相应经费同步划转</w:t>
      </w:r>
      <w:r w:rsidR="005E42D7" w:rsidRPr="00BB74BD">
        <w:rPr>
          <w:rFonts w:ascii="仿宋" w:eastAsia="仿宋" w:hAnsi="仿宋" w:cs="Arial" w:hint="eastAsia"/>
          <w:sz w:val="32"/>
          <w:szCs w:val="32"/>
        </w:rPr>
        <w:t>。</w:t>
      </w:r>
    </w:p>
    <w:p w:rsidR="000D49AB" w:rsidRPr="00BB74BD" w:rsidRDefault="007D61F7" w:rsidP="007D61F7">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类）城乡社区环境卫生（款）城乡社区环境卫生（项）。2018年年初预算为15709.74万元，2018年支出决算为11745.94万元，完成年初预算的74.77%，决算数小于预算数的主要原因是原局属温州市公园管理处、温州市园林绿化养护大队两家单位划转到鹿城区综合行政执法局，相应经费同步划转</w:t>
      </w:r>
      <w:r w:rsidR="005E42D7" w:rsidRPr="00BB74BD">
        <w:rPr>
          <w:rFonts w:ascii="仿宋" w:eastAsia="仿宋" w:hAnsi="仿宋" w:cs="Arial" w:hint="eastAsia"/>
          <w:sz w:val="32"/>
          <w:szCs w:val="32"/>
        </w:rPr>
        <w:t>。</w:t>
      </w:r>
    </w:p>
    <w:p w:rsidR="006813DE" w:rsidRPr="00BB74BD" w:rsidRDefault="00015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住房保障支出</w:t>
      </w:r>
      <w:r w:rsidR="007D61F7" w:rsidRPr="00BB74BD">
        <w:rPr>
          <w:rFonts w:ascii="仿宋" w:eastAsia="仿宋" w:hAnsi="仿宋" w:cs="Arial" w:hint="eastAsia"/>
          <w:sz w:val="32"/>
          <w:szCs w:val="32"/>
        </w:rPr>
        <w:t>（类）住房改革支出（款）住房公积金（项）</w:t>
      </w:r>
      <w:r w:rsidRPr="00BB74BD">
        <w:rPr>
          <w:rFonts w:ascii="仿宋" w:eastAsia="仿宋" w:hAnsi="仿宋" w:cs="Arial" w:hint="eastAsia"/>
          <w:sz w:val="32"/>
          <w:szCs w:val="32"/>
        </w:rPr>
        <w:t>。2018年年初预算为</w:t>
      </w:r>
      <w:r w:rsidR="007D61F7" w:rsidRPr="00BB74BD">
        <w:rPr>
          <w:rFonts w:ascii="仿宋" w:eastAsia="仿宋" w:hAnsi="仿宋" w:cs="Arial" w:hint="eastAsia"/>
          <w:sz w:val="32"/>
          <w:szCs w:val="32"/>
        </w:rPr>
        <w:t>800.83</w:t>
      </w:r>
      <w:r w:rsidRPr="00BB74BD">
        <w:rPr>
          <w:rFonts w:ascii="仿宋" w:eastAsia="仿宋" w:hAnsi="仿宋" w:cs="Arial" w:hint="eastAsia"/>
          <w:sz w:val="32"/>
          <w:szCs w:val="32"/>
        </w:rPr>
        <w:t>万元，2018年支出决算为</w:t>
      </w:r>
      <w:r w:rsidR="007D61F7" w:rsidRPr="00BB74BD">
        <w:rPr>
          <w:rFonts w:ascii="仿宋" w:eastAsia="仿宋" w:hAnsi="仿宋" w:cs="Arial" w:hint="eastAsia"/>
          <w:sz w:val="32"/>
          <w:szCs w:val="32"/>
        </w:rPr>
        <w:t>777.01</w:t>
      </w:r>
      <w:r w:rsidRPr="00BB74BD">
        <w:rPr>
          <w:rFonts w:ascii="仿宋" w:eastAsia="仿宋" w:hAnsi="仿宋" w:cs="Arial" w:hint="eastAsia"/>
          <w:sz w:val="32"/>
          <w:szCs w:val="32"/>
        </w:rPr>
        <w:t>万元，完成年初预算的</w:t>
      </w:r>
      <w:r w:rsidR="007D61F7" w:rsidRPr="00BB74BD">
        <w:rPr>
          <w:rFonts w:ascii="仿宋" w:eastAsia="仿宋" w:hAnsi="仿宋" w:cs="Arial" w:hint="eastAsia"/>
          <w:sz w:val="32"/>
          <w:szCs w:val="32"/>
        </w:rPr>
        <w:t>97.03</w:t>
      </w:r>
      <w:r w:rsidRPr="00BB74BD">
        <w:rPr>
          <w:rFonts w:ascii="仿宋" w:eastAsia="仿宋" w:hAnsi="仿宋" w:cs="Arial" w:hint="eastAsia"/>
          <w:sz w:val="32"/>
          <w:szCs w:val="32"/>
        </w:rPr>
        <w:t>%，决算数小于预算数的主要原因是原局属温州市公园管理处、温州市园林</w:t>
      </w:r>
      <w:r w:rsidRPr="00BB74BD">
        <w:rPr>
          <w:rFonts w:ascii="仿宋" w:eastAsia="仿宋" w:hAnsi="仿宋" w:cs="Arial" w:hint="eastAsia"/>
          <w:sz w:val="32"/>
          <w:szCs w:val="32"/>
        </w:rPr>
        <w:lastRenderedPageBreak/>
        <w:t>绿化养护大队两家单位划转到鹿城区综合行政执法局，相应经费同步划转。</w:t>
      </w:r>
    </w:p>
    <w:p w:rsidR="007D61F7" w:rsidRPr="00BB74BD" w:rsidRDefault="007D61F7" w:rsidP="0055651F">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住房保障支出（类）住房改革支出（款）购房补贴（项）。2018年年初预算为177.34万元，2018年支出决算为179.27万元，完成年初预算的101.09%，决算数</w:t>
      </w:r>
      <w:r w:rsidR="00F765A1" w:rsidRPr="00BB74BD">
        <w:rPr>
          <w:rFonts w:ascii="仿宋" w:eastAsia="仿宋" w:hAnsi="仿宋" w:cs="Arial" w:hint="eastAsia"/>
          <w:sz w:val="32"/>
          <w:szCs w:val="32"/>
        </w:rPr>
        <w:t>大于</w:t>
      </w:r>
      <w:r w:rsidRPr="00BB74BD">
        <w:rPr>
          <w:rFonts w:ascii="仿宋" w:eastAsia="仿宋" w:hAnsi="仿宋" w:cs="Arial" w:hint="eastAsia"/>
          <w:sz w:val="32"/>
          <w:szCs w:val="32"/>
        </w:rPr>
        <w:t>预算数</w:t>
      </w:r>
      <w:r w:rsidR="00F765A1" w:rsidRPr="00BB74BD">
        <w:rPr>
          <w:rFonts w:ascii="仿宋" w:eastAsia="仿宋" w:hAnsi="仿宋" w:cs="Arial" w:hint="eastAsia"/>
          <w:sz w:val="32"/>
          <w:szCs w:val="32"/>
        </w:rPr>
        <w:t>的主要原因是</w:t>
      </w:r>
      <w:r w:rsidR="00682B92" w:rsidRPr="00BB74BD">
        <w:rPr>
          <w:rFonts w:ascii="仿宋" w:eastAsia="仿宋" w:hAnsi="仿宋" w:cs="Arial" w:hint="eastAsia"/>
          <w:sz w:val="32"/>
          <w:szCs w:val="32"/>
        </w:rPr>
        <w:t>住房补贴</w:t>
      </w:r>
      <w:r w:rsidR="00F765A1" w:rsidRPr="00BB74BD">
        <w:rPr>
          <w:rFonts w:ascii="仿宋" w:eastAsia="仿宋" w:hAnsi="仿宋" w:cs="Arial" w:hint="eastAsia"/>
          <w:sz w:val="32"/>
          <w:szCs w:val="32"/>
        </w:rPr>
        <w:t>基数调整</w:t>
      </w:r>
      <w:r w:rsidRPr="00BB74BD">
        <w:rPr>
          <w:rFonts w:ascii="仿宋" w:eastAsia="仿宋" w:hAnsi="仿宋" w:cs="Arial" w:hint="eastAsia"/>
          <w:sz w:val="32"/>
          <w:szCs w:val="32"/>
        </w:rPr>
        <w:t>。</w:t>
      </w:r>
    </w:p>
    <w:p w:rsidR="006813DE" w:rsidRPr="00BB74BD" w:rsidRDefault="00015ACD">
      <w:pPr>
        <w:shd w:val="clear" w:color="auto" w:fill="FFFFFF"/>
        <w:spacing w:line="600" w:lineRule="atLeast"/>
        <w:ind w:firstLine="640"/>
        <w:jc w:val="both"/>
        <w:rPr>
          <w:rStyle w:val="a6"/>
          <w:rFonts w:ascii="楷体" w:eastAsia="楷体" w:hAnsi="楷体" w:cs="Arial"/>
          <w:b w:val="0"/>
          <w:bCs w:val="0"/>
          <w:sz w:val="32"/>
          <w:szCs w:val="32"/>
        </w:rPr>
      </w:pPr>
      <w:r w:rsidRPr="00BB74BD">
        <w:rPr>
          <w:rStyle w:val="a6"/>
          <w:rFonts w:ascii="楷体" w:eastAsia="楷体" w:hAnsi="楷体" w:cs="Arial" w:hint="eastAsia"/>
          <w:b w:val="0"/>
          <w:bCs w:val="0"/>
          <w:sz w:val="32"/>
          <w:szCs w:val="32"/>
        </w:rPr>
        <w:t>（六）一般公共预算财政拨款基本支出决算情况说明</w:t>
      </w:r>
    </w:p>
    <w:p w:rsidR="006813DE" w:rsidRPr="00BB74BD" w:rsidRDefault="00015ACD">
      <w:pPr>
        <w:shd w:val="clear" w:color="auto" w:fill="FFFFFF"/>
        <w:spacing w:line="600" w:lineRule="atLeast"/>
        <w:ind w:firstLine="640"/>
        <w:jc w:val="both"/>
      </w:pPr>
      <w:r w:rsidRPr="00BB74BD">
        <w:rPr>
          <w:rFonts w:ascii="仿宋" w:eastAsia="仿宋" w:hAnsi="仿宋" w:cs="Arial" w:hint="eastAsia"/>
          <w:sz w:val="32"/>
          <w:szCs w:val="32"/>
        </w:rPr>
        <w:t>2018年一般公共预算财政拨款基本支出12,628.44万元，其中：</w:t>
      </w:r>
    </w:p>
    <w:p w:rsidR="006813DE" w:rsidRPr="00BB74BD" w:rsidRDefault="00015ACD">
      <w:pPr>
        <w:shd w:val="clear" w:color="auto" w:fill="FFFFFF"/>
        <w:spacing w:line="600" w:lineRule="atLeast"/>
        <w:ind w:firstLine="640"/>
        <w:jc w:val="both"/>
        <w:rPr>
          <w:rFonts w:ascii="仿宋" w:eastAsia="仿宋" w:hAnsi="仿宋" w:cs="仿宋"/>
          <w:sz w:val="32"/>
          <w:szCs w:val="32"/>
          <w:shd w:val="clear" w:color="auto" w:fill="FFFFFF"/>
        </w:rPr>
      </w:pPr>
      <w:r w:rsidRPr="00BB74BD">
        <w:rPr>
          <w:rFonts w:ascii="仿宋" w:eastAsia="仿宋" w:hAnsi="仿宋" w:cs="Arial" w:hint="eastAsia"/>
          <w:sz w:val="32"/>
          <w:szCs w:val="32"/>
        </w:rPr>
        <w:t>人员经费11,384.73万元，主要包括：</w:t>
      </w:r>
      <w:r w:rsidRPr="00BB74BD">
        <w:rPr>
          <w:rFonts w:ascii="仿宋" w:eastAsia="仿宋" w:hAnsi="仿宋" w:cs="仿宋" w:hint="eastAsia"/>
          <w:sz w:val="32"/>
          <w:szCs w:val="32"/>
          <w:shd w:val="clear" w:color="auto" w:fill="FFFFFF"/>
        </w:rPr>
        <w:t>包括基本工资、津贴补贴、奖金、其他社会保障缴费、伙食补助费、绩效工资、机关事业单位基本养老保险缴费、职业年金缴费、其他工资福利支出、离休费、退休费、退职（役）费、抚恤金、生活补助、医疗费、住房公积金、购房补贴、其他对个人和家庭的补助支出；</w:t>
      </w:r>
      <w:r w:rsidRPr="00BB74BD">
        <w:rPr>
          <w:rFonts w:ascii="仿宋" w:eastAsia="仿宋" w:hAnsi="仿宋" w:cs="Arial" w:hint="eastAsia"/>
          <w:sz w:val="32"/>
          <w:szCs w:val="32"/>
        </w:rPr>
        <w:t>公用经费1,243.71万元，主要包括：</w:t>
      </w:r>
      <w:r w:rsidRPr="00BB74BD">
        <w:rPr>
          <w:rFonts w:ascii="仿宋" w:eastAsia="仿宋" w:hAnsi="仿宋" w:cs="仿宋" w:hint="eastAsia"/>
          <w:sz w:val="32"/>
          <w:szCs w:val="32"/>
          <w:shd w:val="clear" w:color="auto" w:fill="FFFFFF"/>
        </w:rPr>
        <w:t>办公费、印刷费、咨询费、手续费、水费、电费、邮电费、物业管理费、差旅费、因公出国（境）费、维修（护）费、会议费、培训费、公务招待费、劳务费、委托业务费、工会经费、福利费、公务用车运行维护费、其他交通费用、其他商品和服务支出、办公设备购置、信息网络及软件购置更新、其他资本性支出。</w:t>
      </w:r>
    </w:p>
    <w:p w:rsidR="006813DE" w:rsidRPr="00BB74BD" w:rsidRDefault="00015ACD">
      <w:pPr>
        <w:shd w:val="clear" w:color="auto" w:fill="FFFFFF"/>
        <w:spacing w:line="600" w:lineRule="atLeast"/>
        <w:ind w:firstLine="640"/>
        <w:jc w:val="both"/>
        <w:rPr>
          <w:rStyle w:val="a6"/>
          <w:rFonts w:ascii="楷体" w:eastAsia="楷体" w:hAnsi="楷体" w:cs="Arial"/>
          <w:b w:val="0"/>
          <w:bCs w:val="0"/>
          <w:sz w:val="32"/>
          <w:szCs w:val="32"/>
        </w:rPr>
      </w:pPr>
      <w:r w:rsidRPr="00BB74BD">
        <w:rPr>
          <w:rStyle w:val="a6"/>
          <w:rFonts w:ascii="楷体" w:eastAsia="楷体" w:hAnsi="楷体" w:cs="Arial" w:hint="eastAsia"/>
          <w:b w:val="0"/>
          <w:bCs w:val="0"/>
          <w:sz w:val="32"/>
          <w:szCs w:val="32"/>
        </w:rPr>
        <w:t>（七）政府性基金财政拨款支出决算情况说明</w:t>
      </w:r>
    </w:p>
    <w:p w:rsidR="006813DE" w:rsidRPr="00BB74BD" w:rsidRDefault="00015ACD">
      <w:pPr>
        <w:shd w:val="clear" w:color="auto" w:fill="FFFFFF"/>
        <w:spacing w:line="600" w:lineRule="atLeast"/>
        <w:ind w:firstLine="640"/>
        <w:jc w:val="both"/>
      </w:pPr>
      <w:r w:rsidRPr="00BB74BD">
        <w:rPr>
          <w:rStyle w:val="a6"/>
          <w:rFonts w:ascii="仿宋" w:eastAsia="仿宋" w:hAnsi="仿宋" w:cs="Arial" w:hint="eastAsia"/>
          <w:sz w:val="32"/>
          <w:szCs w:val="32"/>
        </w:rPr>
        <w:lastRenderedPageBreak/>
        <w:t>1.政府性基金预算财政拨款支出决算总体情况。</w:t>
      </w:r>
    </w:p>
    <w:p w:rsidR="006813DE" w:rsidRDefault="00015ACD">
      <w:pPr>
        <w:shd w:val="clear" w:color="auto" w:fill="FFFFFF"/>
        <w:spacing w:line="600" w:lineRule="atLeast"/>
        <w:ind w:firstLine="640"/>
        <w:jc w:val="both"/>
      </w:pPr>
      <w:r w:rsidRPr="00BB74BD">
        <w:rPr>
          <w:rFonts w:ascii="仿宋" w:eastAsia="仿宋" w:hAnsi="仿宋" w:cs="Arial" w:hint="eastAsia"/>
          <w:sz w:val="32"/>
          <w:szCs w:val="32"/>
        </w:rPr>
        <w:t>2018年度政府性基金预算财政拨款支出31,394.81万元，占本年支出58.86%。与2017年相比，政府性基金预算财政拨款支出减少2,346.60万元，下降6.95%。主要原因是原局属温州市公园管理处、温州市园林绿化养护大队两家单位划转到鹿城区综合行政执法局，相应经费同步划转</w:t>
      </w:r>
      <w:r>
        <w:rPr>
          <w:rFonts w:ascii="仿宋" w:eastAsia="仿宋" w:hAnsi="仿宋" w:cs="Arial" w:hint="eastAsia"/>
          <w:sz w:val="32"/>
          <w:szCs w:val="32"/>
        </w:rPr>
        <w:t>。</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2.政府性基金预算财政拨款支出决算结构情况。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2018年度政府性基金预算财政拨款支出31,394.81万元，主要用于以下方面：城乡社区（类）支出26,726.30万元,占85.13%；其他（类）支出4,668.51万元,占14.87%；</w:t>
      </w:r>
      <w:r>
        <w:rPr>
          <w:rFonts w:hint="eastAsia"/>
        </w:rPr>
        <w:t xml:space="preserve"> </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3.政府性基金预算财政拨款支出决算具体情况。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政府性基金预算财政拨款支出年初预算为52,426.43万元，支出决算为31,394.81万元,完成年初预算的59.88%，主要原因是原局属温州市公园管理处、温州市园林绿化养护大队两家单位划转到鹿城区综合行政执法局，相应经费同步划转；市政污水污泥治理费由市财政局直接拨付各区财政。其中：</w:t>
      </w:r>
    </w:p>
    <w:p w:rsidR="006813DE" w:rsidRDefault="00015ACD">
      <w:pPr>
        <w:shd w:val="clear" w:color="auto" w:fill="FFFFFF"/>
        <w:spacing w:line="600" w:lineRule="atLeast"/>
        <w:ind w:firstLine="640"/>
        <w:jc w:val="both"/>
        <w:rPr>
          <w:rFonts w:ascii="仿宋" w:eastAsia="仿宋" w:hAnsi="仿宋" w:cs="Arial"/>
          <w:sz w:val="32"/>
          <w:szCs w:val="32"/>
        </w:rPr>
      </w:pPr>
      <w:r w:rsidRPr="00BB74BD">
        <w:rPr>
          <w:rFonts w:ascii="仿宋" w:eastAsia="仿宋" w:hAnsi="仿宋" w:cs="Arial" w:hint="eastAsia"/>
          <w:sz w:val="32"/>
          <w:szCs w:val="32"/>
        </w:rPr>
        <w:t>城乡社区支出</w:t>
      </w:r>
      <w:r w:rsidR="00255F62" w:rsidRPr="00BB74BD">
        <w:rPr>
          <w:rFonts w:ascii="仿宋" w:eastAsia="仿宋" w:hAnsi="仿宋" w:cs="Arial" w:hint="eastAsia"/>
          <w:sz w:val="32"/>
          <w:szCs w:val="32"/>
        </w:rPr>
        <w:t>（类）国有土地使用权出让收入及对应专项债务收入安排的支出（款）其他国有土地使用权出让收入安排的支出（项）</w:t>
      </w:r>
      <w:r w:rsidRPr="00BB74BD">
        <w:rPr>
          <w:rFonts w:ascii="仿宋" w:eastAsia="仿宋" w:hAnsi="仿宋" w:cs="Arial" w:hint="eastAsia"/>
          <w:sz w:val="32"/>
          <w:szCs w:val="32"/>
        </w:rPr>
        <w:t>。2018年年初预算为</w:t>
      </w:r>
      <w:r w:rsidR="00586E23" w:rsidRPr="00BB74BD">
        <w:rPr>
          <w:rFonts w:ascii="仿宋" w:eastAsia="仿宋" w:hAnsi="仿宋" w:cs="Arial" w:hint="eastAsia"/>
          <w:sz w:val="32"/>
          <w:szCs w:val="32"/>
        </w:rPr>
        <w:t>48513.00</w:t>
      </w:r>
      <w:r w:rsidRPr="00BB74BD">
        <w:rPr>
          <w:rFonts w:ascii="仿宋" w:eastAsia="仿宋" w:hAnsi="仿宋" w:cs="Arial" w:hint="eastAsia"/>
          <w:sz w:val="32"/>
          <w:szCs w:val="32"/>
        </w:rPr>
        <w:t>万元，2018年支出决算为</w:t>
      </w:r>
      <w:r w:rsidR="0055651F" w:rsidRPr="00BB74BD">
        <w:rPr>
          <w:rFonts w:ascii="仿宋" w:eastAsia="仿宋" w:hAnsi="仿宋" w:cs="Arial" w:hint="eastAsia"/>
          <w:sz w:val="32"/>
          <w:szCs w:val="32"/>
        </w:rPr>
        <w:t>26711.30</w:t>
      </w:r>
      <w:r w:rsidRPr="00BB74BD">
        <w:rPr>
          <w:rFonts w:ascii="仿宋" w:eastAsia="仿宋" w:hAnsi="仿宋" w:cs="Arial" w:hint="eastAsia"/>
          <w:sz w:val="32"/>
          <w:szCs w:val="32"/>
        </w:rPr>
        <w:t>万元，完成年初</w:t>
      </w:r>
      <w:r>
        <w:rPr>
          <w:rFonts w:ascii="仿宋" w:eastAsia="仿宋" w:hAnsi="仿宋" w:cs="Arial" w:hint="eastAsia"/>
          <w:sz w:val="32"/>
          <w:szCs w:val="32"/>
        </w:rPr>
        <w:t>预算的</w:t>
      </w:r>
      <w:r w:rsidR="0055651F">
        <w:rPr>
          <w:rFonts w:ascii="仿宋" w:eastAsia="仿宋" w:hAnsi="仿宋" w:cs="Arial" w:hint="eastAsia"/>
          <w:sz w:val="32"/>
          <w:szCs w:val="32"/>
        </w:rPr>
        <w:lastRenderedPageBreak/>
        <w:t>55.06</w:t>
      </w:r>
      <w:r>
        <w:rPr>
          <w:rFonts w:ascii="仿宋" w:eastAsia="仿宋" w:hAnsi="仿宋" w:cs="Arial" w:hint="eastAsia"/>
          <w:sz w:val="32"/>
          <w:szCs w:val="32"/>
        </w:rPr>
        <w:t>%，决算数小于预算数的主要原因是原局属温州市公园管理处、温州市园林绿化养护大队两家单位划转到鹿城区综合行政执法局，相应经费同步划转，市政污水污泥治理费由市财政局直接拨付。</w:t>
      </w:r>
    </w:p>
    <w:p w:rsidR="001764DF" w:rsidRPr="00BB74BD" w:rsidRDefault="001764DF">
      <w:pPr>
        <w:shd w:val="clear" w:color="auto" w:fill="FFFFFF"/>
        <w:spacing w:line="600" w:lineRule="atLeast"/>
        <w:ind w:firstLine="640"/>
        <w:jc w:val="both"/>
      </w:pPr>
      <w:r w:rsidRPr="00BB74BD">
        <w:rPr>
          <w:rFonts w:ascii="仿宋" w:eastAsia="仿宋" w:hAnsi="仿宋" w:cs="Arial" w:hint="eastAsia"/>
          <w:sz w:val="32"/>
          <w:szCs w:val="32"/>
        </w:rPr>
        <w:t>城乡社区支出（类）城市基础设施配套费及对应专项债务收入安排的支出（款）其他城市基础设施配套费安排的支出（项）。2018年年初预算为</w:t>
      </w:r>
      <w:r w:rsidR="00B154EA" w:rsidRPr="00BB74BD">
        <w:rPr>
          <w:rFonts w:ascii="仿宋" w:eastAsia="仿宋" w:hAnsi="仿宋" w:cs="Arial" w:hint="eastAsia"/>
          <w:sz w:val="32"/>
          <w:szCs w:val="32"/>
        </w:rPr>
        <w:t>3.10</w:t>
      </w:r>
      <w:r w:rsidRPr="00BB74BD">
        <w:rPr>
          <w:rFonts w:ascii="仿宋" w:eastAsia="仿宋" w:hAnsi="仿宋" w:cs="Arial" w:hint="eastAsia"/>
          <w:sz w:val="32"/>
          <w:szCs w:val="32"/>
        </w:rPr>
        <w:t>万元，2018年支出决算为15万元，完成年初预算的</w:t>
      </w:r>
      <w:r w:rsidR="00B154EA" w:rsidRPr="00BB74BD">
        <w:rPr>
          <w:rFonts w:ascii="仿宋" w:eastAsia="仿宋" w:hAnsi="仿宋" w:cs="Arial" w:hint="eastAsia"/>
          <w:sz w:val="32"/>
          <w:szCs w:val="32"/>
        </w:rPr>
        <w:t>483.87%</w:t>
      </w:r>
      <w:r w:rsidRPr="00BB74BD">
        <w:rPr>
          <w:rFonts w:ascii="仿宋" w:eastAsia="仿宋" w:hAnsi="仿宋" w:cs="Arial" w:hint="eastAsia"/>
          <w:sz w:val="32"/>
          <w:szCs w:val="32"/>
        </w:rPr>
        <w:t>%，</w:t>
      </w:r>
      <w:r w:rsidR="00B154EA" w:rsidRPr="00BB74BD">
        <w:rPr>
          <w:rFonts w:ascii="仿宋" w:eastAsia="仿宋" w:hAnsi="仿宋" w:cs="Arial" w:hint="eastAsia"/>
          <w:sz w:val="32"/>
          <w:szCs w:val="32"/>
        </w:rPr>
        <w:t>决算数大于预算数的主要原因是其他城市基础设施配套费安排的支出项目资金调整增加。</w:t>
      </w:r>
    </w:p>
    <w:p w:rsidR="006813DE" w:rsidRPr="00BB74BD" w:rsidRDefault="00015ACD">
      <w:pPr>
        <w:shd w:val="clear" w:color="auto" w:fill="FFFFFF"/>
        <w:spacing w:line="600" w:lineRule="atLeast"/>
        <w:ind w:firstLine="640"/>
        <w:jc w:val="both"/>
      </w:pPr>
      <w:r w:rsidRPr="00BB74BD">
        <w:rPr>
          <w:rFonts w:ascii="仿宋" w:eastAsia="仿宋" w:hAnsi="仿宋" w:cs="Arial" w:hint="eastAsia"/>
          <w:sz w:val="32"/>
          <w:szCs w:val="32"/>
        </w:rPr>
        <w:t>其他支出</w:t>
      </w:r>
      <w:r w:rsidR="00255F62" w:rsidRPr="00BB74BD">
        <w:rPr>
          <w:rFonts w:ascii="仿宋" w:eastAsia="仿宋" w:hAnsi="仿宋" w:cs="Arial" w:hint="eastAsia"/>
          <w:sz w:val="32"/>
          <w:szCs w:val="32"/>
        </w:rPr>
        <w:t>（类）其他政府性基金及对应专项债务收入安排的支出（款）</w:t>
      </w:r>
      <w:r w:rsidR="001764DF" w:rsidRPr="00BB74BD">
        <w:rPr>
          <w:rFonts w:ascii="仿宋" w:eastAsia="仿宋" w:hAnsi="仿宋" w:cs="Arial" w:hint="eastAsia"/>
          <w:sz w:val="32"/>
          <w:szCs w:val="32"/>
        </w:rPr>
        <w:t>其他政府性基金及对应专项债务收入安排的支出（项）</w:t>
      </w:r>
      <w:r w:rsidRPr="00BB74BD">
        <w:rPr>
          <w:rFonts w:ascii="仿宋" w:eastAsia="仿宋" w:hAnsi="仿宋" w:cs="Arial" w:hint="eastAsia"/>
          <w:sz w:val="32"/>
          <w:szCs w:val="32"/>
        </w:rPr>
        <w:t>。2018年年初预算为3910.33万元，2018年支出决算为4668.51万元，完成年初预算的119.39%，决算数大于预算数的主要原因</w:t>
      </w:r>
      <w:r w:rsidR="00B154EA" w:rsidRPr="00BB74BD">
        <w:rPr>
          <w:rFonts w:ascii="仿宋" w:eastAsia="仿宋" w:hAnsi="仿宋" w:cs="Arial" w:hint="eastAsia"/>
          <w:sz w:val="32"/>
          <w:szCs w:val="32"/>
        </w:rPr>
        <w:t>是</w:t>
      </w:r>
      <w:r w:rsidRPr="00BB74BD">
        <w:rPr>
          <w:rFonts w:ascii="仿宋" w:eastAsia="仿宋" w:hAnsi="仿宋" w:cs="Arial" w:hint="eastAsia"/>
          <w:sz w:val="32"/>
          <w:szCs w:val="32"/>
        </w:rPr>
        <w:t>其他事物项目资金调整增加。</w:t>
      </w:r>
    </w:p>
    <w:p w:rsidR="006813DE" w:rsidRPr="00BB74BD" w:rsidRDefault="00015ACD">
      <w:pPr>
        <w:shd w:val="clear" w:color="auto" w:fill="FFFFFF"/>
        <w:spacing w:line="600" w:lineRule="atLeast"/>
        <w:ind w:firstLine="640"/>
        <w:jc w:val="both"/>
        <w:rPr>
          <w:rStyle w:val="a6"/>
          <w:rFonts w:ascii="楷体" w:eastAsia="楷体" w:hAnsi="楷体" w:cs="Arial"/>
          <w:b w:val="0"/>
          <w:bCs w:val="0"/>
          <w:sz w:val="32"/>
          <w:szCs w:val="32"/>
        </w:rPr>
      </w:pPr>
      <w:r w:rsidRPr="00BB74BD">
        <w:rPr>
          <w:rStyle w:val="a6"/>
          <w:rFonts w:ascii="楷体" w:eastAsia="楷体" w:hAnsi="楷体" w:cs="Arial" w:hint="eastAsia"/>
          <w:b w:val="0"/>
          <w:bCs w:val="0"/>
          <w:sz w:val="32"/>
          <w:szCs w:val="32"/>
        </w:rPr>
        <w:t>（八）2018年度一般公共预算财政拨款“三公”经费支出决算情况说明</w:t>
      </w:r>
    </w:p>
    <w:p w:rsidR="006813DE" w:rsidRPr="00BB74BD" w:rsidRDefault="00015ACD">
      <w:pPr>
        <w:shd w:val="clear" w:color="auto" w:fill="FFFFFF"/>
        <w:spacing w:line="600" w:lineRule="atLeast"/>
        <w:ind w:firstLine="640"/>
        <w:jc w:val="both"/>
      </w:pPr>
      <w:r w:rsidRPr="00BB74BD">
        <w:rPr>
          <w:rStyle w:val="a6"/>
          <w:rFonts w:ascii="仿宋" w:eastAsia="仿宋" w:hAnsi="仿宋" w:cs="Arial" w:hint="eastAsia"/>
          <w:sz w:val="32"/>
          <w:szCs w:val="32"/>
        </w:rPr>
        <w:t xml:space="preserve">1.“三公”经费一般公共预算财政拨款支出决算总体情况说明。 </w:t>
      </w:r>
    </w:p>
    <w:p w:rsidR="006813DE" w:rsidRPr="00BB74BD" w:rsidRDefault="00015ACD">
      <w:pPr>
        <w:shd w:val="clear" w:color="auto" w:fill="FFFFFF"/>
        <w:spacing w:line="600" w:lineRule="atLeast"/>
        <w:ind w:firstLine="640"/>
        <w:jc w:val="both"/>
      </w:pPr>
      <w:r w:rsidRPr="00BB74BD">
        <w:rPr>
          <w:rFonts w:ascii="仿宋" w:eastAsia="仿宋" w:hAnsi="仿宋" w:cs="Arial" w:hint="eastAsia"/>
          <w:sz w:val="32"/>
          <w:szCs w:val="32"/>
        </w:rPr>
        <w:t>2018年度“三公”经费一般公共预算财政拨款支出预算为144.54万元，支出决算为100.89万元，完成预算的69.80%,2018年度“三公”经费支出决算数小于预算数的主</w:t>
      </w:r>
      <w:r w:rsidRPr="00BB74BD">
        <w:rPr>
          <w:rFonts w:ascii="仿宋" w:eastAsia="仿宋" w:hAnsi="仿宋" w:cs="Arial" w:hint="eastAsia"/>
          <w:sz w:val="32"/>
          <w:szCs w:val="32"/>
        </w:rPr>
        <w:lastRenderedPageBreak/>
        <w:t>要原因是温州市综合行政执法局本级及所属事业单位公务用车运行维护费和接待费减少。</w:t>
      </w:r>
    </w:p>
    <w:p w:rsidR="006813DE" w:rsidRDefault="00015ACD">
      <w:pPr>
        <w:shd w:val="clear" w:color="auto" w:fill="FFFFFF"/>
        <w:spacing w:line="600" w:lineRule="atLeast"/>
        <w:ind w:firstLine="640"/>
        <w:jc w:val="both"/>
      </w:pPr>
      <w:r w:rsidRPr="00BB74BD">
        <w:rPr>
          <w:rStyle w:val="a6"/>
          <w:rFonts w:ascii="仿宋" w:eastAsia="仿宋" w:hAnsi="仿宋" w:cs="Arial" w:hint="eastAsia"/>
          <w:sz w:val="32"/>
          <w:szCs w:val="32"/>
        </w:rPr>
        <w:t>2.“三公”经费一般公共预算财政拨款支出决算具体</w:t>
      </w:r>
      <w:r>
        <w:rPr>
          <w:rStyle w:val="a6"/>
          <w:rFonts w:ascii="仿宋" w:eastAsia="仿宋" w:hAnsi="仿宋" w:cs="Arial" w:hint="eastAsia"/>
          <w:sz w:val="32"/>
          <w:szCs w:val="32"/>
        </w:rPr>
        <w:t>情况说明。</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三公”经费一般公共预算财政拨款支出决算中，因公出国（境）费用支出决算为3.89万元，占3.86%，与2017年度相比，减少8.02万元，下降67.33%，主要原因是因公出国人数减少；公务用车购置及运行维护费支出决算为91.93万元，占91.12%，与2017年度相比，增加26.23万元，增长39.92%，主要原因公务用车运行维护支出增加；公务接待费支出决算为5.07万元，占5.03%，与2017年度相比，增加0.94万元，增长22.80%，主要原因是根据实际工作需要，市外客人来访考察、工作调研以及接待省内外执法系统工作餐批次、人数有所增加。具体情况如下：</w:t>
      </w:r>
    </w:p>
    <w:p w:rsidR="006813DE" w:rsidRDefault="00015ACD" w:rsidP="001764DF">
      <w:pPr>
        <w:shd w:val="clear" w:color="auto" w:fill="FFFFFF"/>
        <w:spacing w:line="600" w:lineRule="atLeast"/>
        <w:ind w:firstLine="640"/>
        <w:jc w:val="both"/>
      </w:pPr>
      <w:r>
        <w:rPr>
          <w:rStyle w:val="a6"/>
          <w:rFonts w:ascii="仿宋" w:eastAsia="仿宋" w:hAnsi="仿宋" w:cs="Arial" w:hint="eastAsia"/>
          <w:sz w:val="32"/>
          <w:szCs w:val="32"/>
        </w:rPr>
        <w:t>（1）因公出国（境）费</w:t>
      </w:r>
      <w:r w:rsidR="001764DF">
        <w:rPr>
          <w:rStyle w:val="a6"/>
          <w:rFonts w:ascii="仿宋" w:eastAsia="仿宋" w:hAnsi="仿宋" w:cs="Arial" w:hint="eastAsia"/>
          <w:sz w:val="32"/>
          <w:szCs w:val="32"/>
        </w:rPr>
        <w:t xml:space="preserve"> </w:t>
      </w:r>
      <w:r w:rsidR="00E07606">
        <w:rPr>
          <w:rFonts w:ascii="仿宋" w:eastAsia="仿宋" w:hAnsi="仿宋" w:cs="Arial" w:hint="eastAsia"/>
          <w:sz w:val="32"/>
          <w:szCs w:val="32"/>
        </w:rPr>
        <w:t>决算大于年初预算3.89万元，因年初预算为0，无法计算预算完成率</w:t>
      </w:r>
      <w:r w:rsidR="001764DF">
        <w:rPr>
          <w:rFonts w:ascii="仿宋" w:eastAsia="仿宋" w:hAnsi="仿宋" w:cs="Arial" w:hint="eastAsia"/>
          <w:sz w:val="32"/>
          <w:szCs w:val="32"/>
        </w:rPr>
        <w:t>。</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（2）公务用车购置及运行维护费</w:t>
      </w:r>
      <w:r w:rsidR="001764DF">
        <w:rPr>
          <w:rStyle w:val="a6"/>
          <w:rFonts w:ascii="仿宋" w:eastAsia="仿宋" w:hAnsi="仿宋" w:cs="Arial" w:hint="eastAsia"/>
          <w:sz w:val="32"/>
          <w:szCs w:val="32"/>
        </w:rPr>
        <w:t xml:space="preserve"> </w:t>
      </w:r>
      <w:r>
        <w:rPr>
          <w:rFonts w:ascii="仿宋" w:eastAsia="仿宋" w:hAnsi="仿宋" w:cs="Arial" w:hint="eastAsia"/>
          <w:sz w:val="32"/>
          <w:szCs w:val="32"/>
        </w:rPr>
        <w:t>年初预算数为128.74万元，支出决算为91.93万元，完成年初预算的71.41%。决算数小于预算数的主要原因是公务用车报废及运行维护费支出减少。</w:t>
      </w:r>
    </w:p>
    <w:p w:rsidR="006813DE" w:rsidRDefault="00015ACD">
      <w:pPr>
        <w:shd w:val="clear" w:color="auto" w:fill="FFFFFF"/>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lastRenderedPageBreak/>
        <w:t>公务用车购置</w:t>
      </w:r>
      <w:r>
        <w:rPr>
          <w:rFonts w:ascii="仿宋" w:eastAsia="仿宋" w:hAnsi="仿宋" w:cs="Arial" w:hint="eastAsia"/>
          <w:sz w:val="32"/>
          <w:szCs w:val="32"/>
        </w:rPr>
        <w:t>支出34.36万元（含购置税等附加费用），主要用于</w:t>
      </w:r>
      <w:r w:rsidR="001764DF">
        <w:rPr>
          <w:rFonts w:ascii="仿宋" w:eastAsia="仿宋" w:hAnsi="仿宋" w:cs="Arial" w:hint="eastAsia"/>
          <w:sz w:val="32"/>
          <w:szCs w:val="32"/>
        </w:rPr>
        <w:t>经批准购置的2辆公务用车</w:t>
      </w:r>
      <w:r>
        <w:rPr>
          <w:rFonts w:ascii="仿宋" w:eastAsia="仿宋" w:hAnsi="仿宋" w:cs="Arial" w:hint="eastAsia"/>
          <w:sz w:val="32"/>
          <w:szCs w:val="32"/>
        </w:rPr>
        <w:t>。</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公务用车运行维护费</w:t>
      </w:r>
      <w:r>
        <w:rPr>
          <w:rFonts w:ascii="仿宋" w:eastAsia="仿宋" w:hAnsi="仿宋" w:cs="Arial" w:hint="eastAsia"/>
          <w:sz w:val="32"/>
          <w:szCs w:val="32"/>
        </w:rPr>
        <w:t>支出57.57万元，主要用于温州市综合行政执法局本级及所属事业单位等所需的公务用车燃料费、维修费、过路过桥费、保险费、安全奖励费用等支出；2018年度，本级及所属单位开支一般公共预算财政拨款的公务用车保有量为19辆。</w:t>
      </w:r>
    </w:p>
    <w:p w:rsidR="006813DE" w:rsidRDefault="00015ACD">
      <w:pPr>
        <w:shd w:val="clear" w:color="auto" w:fill="FFFFFF"/>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（3）公务接待费</w:t>
      </w:r>
      <w:r>
        <w:rPr>
          <w:rFonts w:ascii="仿宋" w:eastAsia="仿宋" w:hAnsi="仿宋" w:cs="Arial" w:hint="eastAsia"/>
          <w:sz w:val="32"/>
          <w:szCs w:val="32"/>
        </w:rPr>
        <w:t>年初预算数为15.80万元，支出决算为5.07万元，完成年初预算的32.09%。主要用于接待省内外执法系统工作餐等支出。决算数小于预算数的主要原因是严格执行中央八项规定及厉行节约相关要求。全年使用一般公共预算财政拨款国内公务接待43批次，累计528人次。</w:t>
      </w:r>
    </w:p>
    <w:p w:rsidR="00471CAB" w:rsidRDefault="00471CAB">
      <w:pPr>
        <w:shd w:val="clear" w:color="auto" w:fill="FFFFFF"/>
        <w:spacing w:line="600" w:lineRule="atLeast"/>
        <w:ind w:firstLine="640"/>
        <w:jc w:val="both"/>
      </w:pPr>
      <w:r w:rsidRPr="00471CAB">
        <w:rPr>
          <w:rFonts w:ascii="仿宋" w:eastAsia="仿宋" w:hAnsi="仿宋" w:cs="Arial" w:hint="eastAsia"/>
          <w:b/>
          <w:sz w:val="32"/>
          <w:szCs w:val="32"/>
        </w:rPr>
        <w:t>外宾接待</w:t>
      </w:r>
      <w:r>
        <w:rPr>
          <w:rFonts w:ascii="仿宋" w:eastAsia="仿宋" w:hAnsi="仿宋" w:cs="Arial" w:hint="eastAsia"/>
          <w:sz w:val="32"/>
          <w:szCs w:val="32"/>
        </w:rPr>
        <w:t>支出0万元，接待0人次，0批次。</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其他国内公务接待</w:t>
      </w:r>
      <w:r>
        <w:rPr>
          <w:rFonts w:ascii="仿宋" w:eastAsia="仿宋" w:hAnsi="仿宋" w:cs="Arial" w:hint="eastAsia"/>
          <w:sz w:val="32"/>
          <w:szCs w:val="32"/>
        </w:rPr>
        <w:t>支出5.07万元，主要用于接待省内外执法系统工作餐。接待528人次，43批次。</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（九）部门预算绩效情况说明</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1.预算绩效管理工作开展情况。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根据预算管理要求，温州市综合行政执法局组织开展了2018年度一般公共预算项目支出绩效自评，涉及项目30个，涉及当年一般公共预算资金2914.42万元，占项目资金预算总额的99.68%。</w:t>
      </w:r>
    </w:p>
    <w:p w:rsidR="00A80D73" w:rsidRDefault="00015AC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lastRenderedPageBreak/>
        <w:t>2.部门决算中项目绩效自评结果</w:t>
      </w:r>
      <w:r w:rsidR="00A80D73">
        <w:rPr>
          <w:rStyle w:val="a6"/>
          <w:rFonts w:ascii="仿宋" w:eastAsia="仿宋" w:hAnsi="仿宋" w:cs="Arial" w:hint="eastAsia"/>
          <w:sz w:val="32"/>
          <w:szCs w:val="32"/>
        </w:rPr>
        <w:t>。</w:t>
      </w:r>
    </w:p>
    <w:p w:rsidR="006813DE" w:rsidRDefault="00015ACD">
      <w:pPr>
        <w:shd w:val="clear" w:color="auto" w:fill="FFFFFF"/>
        <w:spacing w:line="600" w:lineRule="atLeast"/>
        <w:ind w:firstLine="640"/>
        <w:jc w:val="both"/>
      </w:pPr>
      <w:r>
        <w:rPr>
          <w:rFonts w:ascii="仿宋" w:eastAsia="仿宋" w:hAnsi="仿宋" w:cs="Arial" w:hint="eastAsia"/>
          <w:sz w:val="32"/>
          <w:szCs w:val="32"/>
        </w:rPr>
        <w:t>温州市综合行政执法局（汇总）在2018年度部门决算中反映城市管理专项经费及动物饲料及医药费的项目绩效自评结果。</w:t>
      </w:r>
    </w:p>
    <w:p w:rsidR="006813DE" w:rsidRDefault="00015ACD">
      <w:pPr>
        <w:widowControl w:val="0"/>
        <w:spacing w:line="600" w:lineRule="exact"/>
        <w:ind w:firstLineChars="200" w:firstLine="640"/>
        <w:jc w:val="both"/>
      </w:pPr>
      <w:r>
        <w:rPr>
          <w:rFonts w:ascii="仿宋" w:eastAsia="仿宋" w:hAnsi="仿宋" w:cs="Arial" w:hint="eastAsia"/>
          <w:sz w:val="32"/>
          <w:szCs w:val="32"/>
        </w:rPr>
        <w:t>城市管理专项经费项目绩效自评综述：根据年初设定的绩效目标，项目自评得分98分，自评结论为“优秀”。项目全年预算数为140万元，执行数为140万元，完成预算的100.00%。</w:t>
      </w:r>
      <w:r>
        <w:rPr>
          <w:rFonts w:ascii="仿宋" w:eastAsia="仿宋" w:hAnsi="仿宋" w:cs="Arial" w:hint="eastAsia"/>
          <w:b/>
          <w:bCs/>
          <w:sz w:val="32"/>
          <w:szCs w:val="32"/>
        </w:rPr>
        <w:t>主要产出和效果：</w:t>
      </w:r>
      <w:r>
        <w:rPr>
          <w:rFonts w:ascii="仿宋_GB2312" w:eastAsia="仿宋_GB2312" w:cs="Times New Roman" w:hint="eastAsia"/>
          <w:kern w:val="2"/>
          <w:sz w:val="32"/>
          <w:szCs w:val="32"/>
        </w:rPr>
        <w:t>以项目实施为抓手，以强化行业监管、保障服务民生为出发点，不断加强市容环卫和市政公用设施的运行管理，精心组织三改一拆、道路综合整治、四边三化等专项行动，强化城市防台防汛工作，精心当好“城市管家”。2018年，深化“三改一拆”，</w:t>
      </w:r>
      <w:r>
        <w:rPr>
          <w:rFonts w:ascii="仿宋_GB2312" w:eastAsia="仿宋_GB2312" w:hAnsi="黑体" w:cs="仿宋_GB2312" w:hint="eastAsia"/>
          <w:sz w:val="32"/>
          <w:szCs w:val="32"/>
        </w:rPr>
        <w:t>扎实推进违法建筑处置专项行动，</w:t>
      </w:r>
      <w:r>
        <w:rPr>
          <w:rFonts w:ascii="仿宋_GB2312" w:eastAsia="仿宋_GB2312" w:hAnsi="仿宋" w:hint="eastAsia"/>
          <w:sz w:val="32"/>
          <w:szCs w:val="32"/>
        </w:rPr>
        <w:t>查处新建违法建筑3896起，组织或参加拆违行动7180次，</w:t>
      </w:r>
      <w:r>
        <w:rPr>
          <w:rFonts w:ascii="仿宋_GB2312" w:eastAsia="仿宋_GB2312" w:hAnsi="仿宋_GB2312" w:cs="仿宋_GB2312" w:hint="eastAsia"/>
          <w:sz w:val="32"/>
          <w:szCs w:val="32"/>
        </w:rPr>
        <w:t>全市累计已创成“</w:t>
      </w:r>
      <w:r>
        <w:rPr>
          <w:rFonts w:ascii="仿宋_GB2312" w:eastAsia="仿宋_GB2312" w:hAnsi="仿宋_GB2312" w:cs="仿宋_GB2312" w:hint="eastAsia"/>
          <w:spacing w:val="-4"/>
          <w:sz w:val="32"/>
          <w:szCs w:val="32"/>
        </w:rPr>
        <w:t>无违建县（市、区）</w:t>
      </w:r>
      <w:r>
        <w:rPr>
          <w:rFonts w:ascii="仿宋_GB2312" w:eastAsia="仿宋_GB2312" w:hAnsi="仿宋_GB2312" w:cs="仿宋_GB2312" w:hint="eastAsia"/>
          <w:sz w:val="32"/>
          <w:szCs w:val="32"/>
        </w:rPr>
        <w:t>”2个、</w:t>
      </w:r>
      <w:r>
        <w:rPr>
          <w:rFonts w:ascii="仿宋_GB2312" w:eastAsia="仿宋_GB2312" w:hAnsi="仿宋_GB2312" w:cs="仿宋_GB2312" w:hint="eastAsia"/>
          <w:spacing w:val="-4"/>
          <w:sz w:val="32"/>
          <w:szCs w:val="32"/>
        </w:rPr>
        <w:t>“基本无违建县（市、区）”3个，</w:t>
      </w:r>
      <w:r>
        <w:rPr>
          <w:rFonts w:ascii="仿宋_GB2312" w:eastAsia="仿宋_GB2312" w:hAnsi="仿宋_GB2312" w:cs="仿宋_GB2312" w:hint="eastAsia"/>
          <w:sz w:val="32"/>
          <w:szCs w:val="32"/>
        </w:rPr>
        <w:t>“基本无违建乡镇（街道）”158个</w:t>
      </w:r>
      <w:r>
        <w:rPr>
          <w:rFonts w:ascii="仿宋_GB2312" w:eastAsia="仿宋_GB2312" w:hAnsi="Times New Roman" w:cs="Times New Roman" w:hint="eastAsia"/>
          <w:kern w:val="2"/>
          <w:sz w:val="32"/>
          <w:szCs w:val="32"/>
        </w:rPr>
        <w:t>，市级</w:t>
      </w:r>
      <w:r>
        <w:rPr>
          <w:rFonts w:ascii="仿宋_GB2312" w:eastAsia="仿宋_GB2312" w:cs="Times New Roman" w:hint="eastAsia"/>
          <w:kern w:val="2"/>
          <w:sz w:val="32"/>
          <w:szCs w:val="32"/>
        </w:rPr>
        <w:t>防违控违综合管理系统建设走在全省前列。深化城市管理治乱行动，集中梳理一批城市管理的痛点作为执法重点，依法管理占道经营13万家次，查处人行道违停34万辆次，清理小广告3.8万起，依照市容管理条例立案查处4583起。深化道路综合整治，完成市区道路综合整治三年行动计划(2016-2018年)共40条道路综合整治，总面积843.6万平方米。深化民生实事办理，共完成民生实事任务8项（其中省实事2项），</w:t>
      </w:r>
      <w:r>
        <w:rPr>
          <w:rFonts w:ascii="仿宋_GB2312" w:eastAsia="仿宋_GB2312" w:cs="Times New Roman" w:hint="eastAsia"/>
          <w:kern w:val="2"/>
          <w:sz w:val="32"/>
          <w:szCs w:val="32"/>
        </w:rPr>
        <w:lastRenderedPageBreak/>
        <w:t>全市建设绿道（人行游步道）104.16公里，市区改造提升自行车道93.4公里，新增管道燃气用户7.35万户，改造提升城市厕所273座，创建省级、市级生活垃圾分类示范小区各20个，城镇生活垃圾资源化利用率达到92%以上、城镇生活垃圾无害化处理率达到100%。在项目实施过程中，认真安排项目资金使用计划，有序推进项目支出进度，通过项目资金的有效使用，有效提升环境整体水平，提升视觉效果，改善人居环境，提升城市形象和品味。</w:t>
      </w:r>
      <w:bookmarkStart w:id="0" w:name="_Toc318202884"/>
      <w:bookmarkStart w:id="1" w:name="_Toc351535884"/>
      <w:bookmarkEnd w:id="0"/>
      <w:bookmarkEnd w:id="1"/>
      <w:r>
        <w:rPr>
          <w:rFonts w:ascii="仿宋" w:eastAsia="仿宋" w:hAnsi="仿宋" w:cs="Arial" w:hint="eastAsia"/>
          <w:b/>
          <w:bCs/>
          <w:sz w:val="32"/>
          <w:szCs w:val="32"/>
        </w:rPr>
        <w:t>发现的问题及原因：</w:t>
      </w:r>
      <w:r>
        <w:rPr>
          <w:rFonts w:ascii="仿宋" w:eastAsia="仿宋" w:hAnsi="仿宋" w:cs="Arial" w:hint="eastAsia"/>
          <w:sz w:val="32"/>
          <w:szCs w:val="32"/>
        </w:rPr>
        <w:t>一是项目预期绩效目标编制水平有待提高，以笼统的工作事项代替明细预算，绩效指标不细化、未量化；二是项目经费管理有待加强。</w:t>
      </w:r>
      <w:r>
        <w:rPr>
          <w:rFonts w:ascii="仿宋" w:eastAsia="仿宋" w:hAnsi="仿宋" w:cs="Arial" w:hint="eastAsia"/>
          <w:b/>
          <w:bCs/>
          <w:sz w:val="32"/>
          <w:szCs w:val="32"/>
        </w:rPr>
        <w:t>下一步改进措施：</w:t>
      </w:r>
      <w:r>
        <w:rPr>
          <w:rFonts w:ascii="仿宋" w:eastAsia="仿宋" w:hAnsi="仿宋" w:cs="Arial" w:hint="eastAsia"/>
          <w:sz w:val="32"/>
          <w:szCs w:val="32"/>
        </w:rPr>
        <w:t>一是合理、科学测算项目预算，强化项目预算绩效目标编制，细化、量化各项绩效指标，全面实施预算绩效管理，提高财政资金使用绩效；二是规范项目支出，严格按照预算批复内容管理和使用经费。</w:t>
      </w:r>
    </w:p>
    <w:p w:rsidR="006813DE" w:rsidRDefault="00015ACD">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动物饲料及医药费项目绩效自评综述：根据年初设定的绩效目标，项目自评得分100分，自评结论为“优秀”。项目全年预算数为318万元，执行数为311.39万元，完成预算的97.92%。</w:t>
      </w:r>
      <w:r>
        <w:rPr>
          <w:rFonts w:ascii="仿宋" w:eastAsia="仿宋" w:hAnsi="仿宋" w:cs="Arial" w:hint="eastAsia"/>
          <w:b/>
          <w:bCs/>
          <w:sz w:val="32"/>
          <w:szCs w:val="32"/>
        </w:rPr>
        <w:t>主要产出和效果：</w:t>
      </w:r>
      <w:r>
        <w:rPr>
          <w:rFonts w:ascii="仿宋" w:eastAsia="仿宋" w:hAnsi="仿宋" w:cs="Arial" w:hint="eastAsia"/>
          <w:sz w:val="32"/>
          <w:szCs w:val="32"/>
        </w:rPr>
        <w:t>全年采购各类动物饲料，基本保障动物园各种动物的日常消耗；采购、保管足量的各类药品，保障动物在园区内的正常活动和生存，做到动物生病能够及时治疗；根据2018年在园动物统计，在园动物579只，2018年新繁殖动物47只。通过该项目的实施，</w:t>
      </w:r>
      <w:r>
        <w:rPr>
          <w:rFonts w:ascii="仿宋" w:eastAsia="仿宋" w:hAnsi="仿宋" w:cs="Arial" w:hint="eastAsia"/>
          <w:sz w:val="32"/>
          <w:szCs w:val="32"/>
        </w:rPr>
        <w:lastRenderedPageBreak/>
        <w:t>为温州市动物园的各类动物提供全面的饮食和医药服务，打造一个适宜动物生存和居住的环境。</w:t>
      </w:r>
      <w:r>
        <w:rPr>
          <w:rFonts w:ascii="仿宋" w:eastAsia="仿宋" w:hAnsi="仿宋" w:cs="Arial" w:hint="eastAsia"/>
          <w:b/>
          <w:bCs/>
          <w:sz w:val="32"/>
          <w:szCs w:val="32"/>
        </w:rPr>
        <w:t>发现的问题及原因：</w:t>
      </w:r>
      <w:r>
        <w:rPr>
          <w:rFonts w:ascii="仿宋" w:eastAsia="仿宋" w:hAnsi="仿宋" w:cs="Arial" w:hint="eastAsia"/>
          <w:sz w:val="32"/>
          <w:szCs w:val="32"/>
        </w:rPr>
        <w:t>一是预算投入以分项总额列示，细化程序有待提高；二是物资采购及出入库管理有待进一步规范。</w:t>
      </w:r>
      <w:r>
        <w:rPr>
          <w:rFonts w:ascii="仿宋" w:eastAsia="仿宋" w:hAnsi="仿宋" w:cs="Arial" w:hint="eastAsia"/>
          <w:b/>
          <w:bCs/>
          <w:sz w:val="32"/>
          <w:szCs w:val="32"/>
        </w:rPr>
        <w:t>下一步改进措施</w:t>
      </w:r>
      <w:r>
        <w:rPr>
          <w:rFonts w:ascii="仿宋" w:eastAsia="仿宋" w:hAnsi="仿宋" w:cs="Arial" w:hint="eastAsia"/>
          <w:sz w:val="32"/>
          <w:szCs w:val="32"/>
        </w:rPr>
        <w:t>：一是项目单位重视项目预期绩效编报工作，规范项目预算编制流程，有依据的细化和量化各项绩效指标，进一步提高财政资金使用效益；二是强化项目的组织管理，科学规划采购程序，加强物资收发存管理。</w:t>
      </w:r>
    </w:p>
    <w:p w:rsidR="004A6C5A" w:rsidRDefault="004A6C5A" w:rsidP="00B01721">
      <w:pPr>
        <w:jc w:val="center"/>
        <w:rPr>
          <w:rFonts w:ascii="方正小标宋简体" w:eastAsia="方正小标宋简体" w:hAnsi="黑体"/>
          <w:color w:val="000000"/>
          <w:sz w:val="44"/>
          <w:szCs w:val="44"/>
        </w:rPr>
      </w:pPr>
    </w:p>
    <w:p w:rsidR="00B01721" w:rsidRPr="00A93863" w:rsidRDefault="00B01721" w:rsidP="00B01721">
      <w:pPr>
        <w:jc w:val="center"/>
        <w:rPr>
          <w:rFonts w:ascii="方正小标宋简体" w:eastAsia="方正小标宋简体" w:hAnsi="黑体"/>
          <w:color w:val="000000"/>
        </w:rPr>
      </w:pPr>
      <w:r w:rsidRPr="004A6C5A">
        <w:rPr>
          <w:rFonts w:ascii="方正小标宋简体" w:eastAsia="方正小标宋简体" w:hAnsi="黑体" w:hint="eastAsia"/>
          <w:color w:val="000000"/>
          <w:sz w:val="36"/>
          <w:szCs w:val="36"/>
        </w:rPr>
        <w:t xml:space="preserve">城市管理专项整治经费项目绩效自评表 </w:t>
      </w:r>
      <w:r w:rsidRPr="00A93863">
        <w:rPr>
          <w:rFonts w:ascii="方正小标宋简体" w:eastAsia="方正小标宋简体" w:hAnsi="黑体" w:hint="eastAsia"/>
          <w:color w:val="000000"/>
        </w:rPr>
        <w:t>（2018年）</w:t>
      </w:r>
    </w:p>
    <w:p w:rsidR="00B01721" w:rsidRDefault="00B01721" w:rsidP="00B01721">
      <w:pPr>
        <w:snapToGrid w:val="0"/>
        <w:spacing w:line="360" w:lineRule="exact"/>
        <w:ind w:right="420"/>
        <w:jc w:val="center"/>
        <w:rPr>
          <w:rFonts w:ascii="仿宋_GB2312" w:eastAsia="仿宋_GB2312" w:hAnsi="SimSun-ExtB"/>
          <w:color w:val="000000"/>
          <w:szCs w:val="21"/>
        </w:rPr>
      </w:pPr>
      <w:r>
        <w:rPr>
          <w:rFonts w:ascii="仿宋_GB2312" w:eastAsia="仿宋_GB2312" w:hAnsi="SimSun-ExtB" w:hint="eastAsia"/>
          <w:color w:val="000000"/>
          <w:szCs w:val="21"/>
        </w:rPr>
        <w:t xml:space="preserve">                                                  </w:t>
      </w:r>
      <w:r>
        <w:rPr>
          <w:rFonts w:ascii="仿宋_GB2312" w:eastAsia="仿宋_GB2312" w:hint="eastAsia"/>
          <w:color w:val="000000"/>
          <w:szCs w:val="21"/>
        </w:rPr>
        <w:t>金额单位：万元</w:t>
      </w:r>
    </w:p>
    <w:tbl>
      <w:tblPr>
        <w:tblW w:w="909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807"/>
        <w:gridCol w:w="153"/>
        <w:gridCol w:w="1164"/>
        <w:gridCol w:w="1321"/>
        <w:gridCol w:w="1425"/>
        <w:gridCol w:w="1615"/>
        <w:gridCol w:w="1559"/>
      </w:tblGrid>
      <w:tr w:rsidR="00B01721" w:rsidTr="00255F62">
        <w:trPr>
          <w:trHeight w:val="483"/>
        </w:trPr>
        <w:tc>
          <w:tcPr>
            <w:tcW w:w="1051" w:type="dxa"/>
            <w:vAlign w:val="center"/>
          </w:tcPr>
          <w:p w:rsidR="00B01721" w:rsidRPr="004A6C5A" w:rsidRDefault="00B01721" w:rsidP="00255F62">
            <w:pPr>
              <w:snapToGrid w:val="0"/>
              <w:spacing w:line="320" w:lineRule="exact"/>
              <w:jc w:val="center"/>
              <w:rPr>
                <w:rFonts w:ascii="仿宋_GB2312" w:eastAsia="仿宋_GB2312"/>
                <w:color w:val="000000"/>
                <w:sz w:val="18"/>
                <w:szCs w:val="18"/>
              </w:rPr>
            </w:pPr>
            <w:r w:rsidRPr="004A6C5A">
              <w:rPr>
                <w:rFonts w:ascii="仿宋_GB2312" w:eastAsia="仿宋_GB2312" w:hint="eastAsia"/>
                <w:color w:val="000000"/>
                <w:sz w:val="18"/>
                <w:szCs w:val="18"/>
              </w:rPr>
              <w:t>项目单位</w:t>
            </w:r>
          </w:p>
          <w:p w:rsidR="00B01721" w:rsidRDefault="00B01721" w:rsidP="00255F62">
            <w:pPr>
              <w:snapToGrid w:val="0"/>
              <w:spacing w:line="320" w:lineRule="exact"/>
              <w:jc w:val="center"/>
              <w:rPr>
                <w:rFonts w:ascii="仿宋_GB2312" w:eastAsia="仿宋_GB2312"/>
                <w:color w:val="000000"/>
                <w:sz w:val="18"/>
                <w:szCs w:val="18"/>
              </w:rPr>
            </w:pPr>
            <w:r w:rsidRPr="004A6C5A">
              <w:rPr>
                <w:rFonts w:ascii="仿宋_GB2312" w:eastAsia="仿宋_GB2312" w:hint="eastAsia"/>
                <w:color w:val="000000"/>
                <w:sz w:val="18"/>
                <w:szCs w:val="18"/>
              </w:rPr>
              <w:t>名称</w:t>
            </w:r>
          </w:p>
        </w:tc>
        <w:tc>
          <w:tcPr>
            <w:tcW w:w="2124" w:type="dxa"/>
            <w:gridSpan w:val="3"/>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温州市综合行政执法局</w:t>
            </w:r>
          </w:p>
        </w:tc>
        <w:tc>
          <w:tcPr>
            <w:tcW w:w="1321" w:type="dxa"/>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项目名称</w:t>
            </w:r>
          </w:p>
        </w:tc>
        <w:tc>
          <w:tcPr>
            <w:tcW w:w="4599" w:type="dxa"/>
            <w:gridSpan w:val="3"/>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城市管理专项整治经费</w:t>
            </w:r>
          </w:p>
        </w:tc>
      </w:tr>
      <w:tr w:rsidR="00B01721" w:rsidTr="00255F62">
        <w:trPr>
          <w:trHeight w:val="357"/>
        </w:trPr>
        <w:tc>
          <w:tcPr>
            <w:tcW w:w="1051" w:type="dxa"/>
            <w:vMerge w:val="restart"/>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项目</w:t>
            </w:r>
          </w:p>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基本</w:t>
            </w:r>
          </w:p>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情况</w:t>
            </w:r>
          </w:p>
        </w:tc>
        <w:tc>
          <w:tcPr>
            <w:tcW w:w="960" w:type="dxa"/>
            <w:gridSpan w:val="2"/>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上年结转</w:t>
            </w:r>
          </w:p>
        </w:tc>
        <w:tc>
          <w:tcPr>
            <w:tcW w:w="1164" w:type="dxa"/>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年初预算安排数</w:t>
            </w:r>
          </w:p>
        </w:tc>
        <w:tc>
          <w:tcPr>
            <w:tcW w:w="1321" w:type="dxa"/>
            <w:tcBorders>
              <w:right w:val="single" w:sz="4" w:space="0" w:color="auto"/>
            </w:tcBorders>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预算调整数</w:t>
            </w:r>
          </w:p>
        </w:tc>
        <w:tc>
          <w:tcPr>
            <w:tcW w:w="1425" w:type="dxa"/>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财政支付数</w:t>
            </w:r>
          </w:p>
        </w:tc>
        <w:tc>
          <w:tcPr>
            <w:tcW w:w="3174" w:type="dxa"/>
            <w:gridSpan w:val="2"/>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预算执行率</w:t>
            </w:r>
          </w:p>
        </w:tc>
      </w:tr>
      <w:tr w:rsidR="00B01721" w:rsidTr="00255F62">
        <w:trPr>
          <w:trHeight w:val="447"/>
        </w:trPr>
        <w:tc>
          <w:tcPr>
            <w:tcW w:w="1051" w:type="dxa"/>
            <w:vMerge/>
            <w:vAlign w:val="center"/>
          </w:tcPr>
          <w:p w:rsidR="00B01721" w:rsidRDefault="00B01721" w:rsidP="00255F62">
            <w:pPr>
              <w:snapToGrid w:val="0"/>
              <w:spacing w:line="320" w:lineRule="exact"/>
              <w:jc w:val="center"/>
              <w:rPr>
                <w:rFonts w:ascii="仿宋_GB2312" w:eastAsia="仿宋_GB2312"/>
                <w:color w:val="000000"/>
                <w:sz w:val="18"/>
                <w:szCs w:val="18"/>
              </w:rPr>
            </w:pPr>
          </w:p>
        </w:tc>
        <w:tc>
          <w:tcPr>
            <w:tcW w:w="960" w:type="dxa"/>
            <w:gridSpan w:val="2"/>
            <w:vAlign w:val="center"/>
          </w:tcPr>
          <w:p w:rsidR="00B01721" w:rsidRDefault="00B01721" w:rsidP="00255F62">
            <w:pPr>
              <w:snapToGrid w:val="0"/>
              <w:spacing w:line="320" w:lineRule="exact"/>
              <w:jc w:val="center"/>
              <w:rPr>
                <w:rFonts w:ascii="仿宋_GB2312" w:eastAsia="仿宋_GB2312"/>
                <w:color w:val="000000"/>
                <w:sz w:val="18"/>
                <w:szCs w:val="18"/>
              </w:rPr>
            </w:pPr>
          </w:p>
        </w:tc>
        <w:tc>
          <w:tcPr>
            <w:tcW w:w="1164" w:type="dxa"/>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140</w:t>
            </w:r>
          </w:p>
        </w:tc>
        <w:tc>
          <w:tcPr>
            <w:tcW w:w="1321" w:type="dxa"/>
            <w:tcBorders>
              <w:right w:val="single" w:sz="4" w:space="0" w:color="auto"/>
            </w:tcBorders>
            <w:vAlign w:val="center"/>
          </w:tcPr>
          <w:p w:rsidR="00B01721" w:rsidRDefault="00B01721" w:rsidP="00255F62">
            <w:pPr>
              <w:snapToGrid w:val="0"/>
              <w:spacing w:line="320" w:lineRule="exact"/>
              <w:jc w:val="center"/>
              <w:rPr>
                <w:rFonts w:ascii="仿宋_GB2312" w:eastAsia="仿宋_GB2312"/>
                <w:color w:val="000000"/>
                <w:sz w:val="18"/>
                <w:szCs w:val="18"/>
              </w:rPr>
            </w:pPr>
          </w:p>
        </w:tc>
        <w:tc>
          <w:tcPr>
            <w:tcW w:w="1425" w:type="dxa"/>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140</w:t>
            </w:r>
          </w:p>
        </w:tc>
        <w:tc>
          <w:tcPr>
            <w:tcW w:w="3174" w:type="dxa"/>
            <w:gridSpan w:val="2"/>
            <w:vAlign w:val="center"/>
          </w:tcPr>
          <w:p w:rsidR="00B01721" w:rsidRDefault="00B01721" w:rsidP="00255F62">
            <w:pPr>
              <w:snapToGrid w:val="0"/>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100%</w:t>
            </w:r>
          </w:p>
        </w:tc>
      </w:tr>
      <w:tr w:rsidR="00B01721" w:rsidTr="00255F62">
        <w:tblPrEx>
          <w:tblBorders>
            <w:insideH w:val="none" w:sz="0" w:space="0" w:color="auto"/>
            <w:insideV w:val="none" w:sz="0" w:space="0" w:color="auto"/>
          </w:tblBorders>
        </w:tblPrEx>
        <w:trPr>
          <w:trHeight w:val="383"/>
        </w:trPr>
        <w:tc>
          <w:tcPr>
            <w:tcW w:w="1051"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b/>
                <w:sz w:val="18"/>
                <w:szCs w:val="18"/>
              </w:rPr>
            </w:pPr>
            <w:r>
              <w:rPr>
                <w:rFonts w:ascii="仿宋_GB2312" w:eastAsia="仿宋_GB2312" w:hint="eastAsia"/>
                <w:b/>
                <w:sz w:val="18"/>
                <w:szCs w:val="18"/>
              </w:rPr>
              <w:t>评价内容</w:t>
            </w:r>
          </w:p>
        </w:tc>
        <w:tc>
          <w:tcPr>
            <w:tcW w:w="807"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b/>
                <w:sz w:val="18"/>
                <w:szCs w:val="18"/>
              </w:rPr>
            </w:pPr>
            <w:r>
              <w:rPr>
                <w:rFonts w:ascii="仿宋_GB2312" w:eastAsia="仿宋_GB2312" w:hint="eastAsia"/>
                <w:b/>
                <w:sz w:val="18"/>
                <w:szCs w:val="18"/>
              </w:rPr>
              <w:t>分值</w:t>
            </w:r>
          </w:p>
        </w:tc>
        <w:tc>
          <w:tcPr>
            <w:tcW w:w="5678" w:type="dxa"/>
            <w:gridSpan w:val="5"/>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b/>
                <w:sz w:val="18"/>
                <w:szCs w:val="18"/>
              </w:rPr>
            </w:pPr>
            <w:r>
              <w:rPr>
                <w:rFonts w:ascii="仿宋_GB2312" w:eastAsia="仿宋_GB2312" w:hint="eastAsia"/>
                <w:b/>
                <w:sz w:val="18"/>
                <w:szCs w:val="18"/>
              </w:rPr>
              <w:t>评价简述</w:t>
            </w:r>
          </w:p>
        </w:tc>
        <w:tc>
          <w:tcPr>
            <w:tcW w:w="1559"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b/>
                <w:sz w:val="18"/>
                <w:szCs w:val="18"/>
              </w:rPr>
            </w:pPr>
            <w:r>
              <w:rPr>
                <w:rFonts w:ascii="仿宋_GB2312" w:eastAsia="仿宋_GB2312" w:hint="eastAsia"/>
                <w:b/>
                <w:sz w:val="18"/>
                <w:szCs w:val="18"/>
              </w:rPr>
              <w:t>自评得分</w:t>
            </w:r>
          </w:p>
        </w:tc>
      </w:tr>
      <w:tr w:rsidR="00B01721" w:rsidTr="00255F62">
        <w:tblPrEx>
          <w:tblBorders>
            <w:insideH w:val="none" w:sz="0" w:space="0" w:color="auto"/>
            <w:insideV w:val="none" w:sz="0" w:space="0" w:color="auto"/>
          </w:tblBorders>
        </w:tblPrEx>
        <w:trPr>
          <w:trHeight w:val="1277"/>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项目预算及预期绩效目标编制水平</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10</w:t>
            </w:r>
          </w:p>
        </w:tc>
        <w:tc>
          <w:tcPr>
            <w:tcW w:w="5678" w:type="dxa"/>
            <w:gridSpan w:val="5"/>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rPr>
                <w:rFonts w:ascii="仿宋_GB2312" w:eastAsia="仿宋_GB2312"/>
                <w:color w:val="000000"/>
                <w:sz w:val="18"/>
                <w:szCs w:val="18"/>
              </w:rPr>
            </w:pPr>
            <w:r>
              <w:rPr>
                <w:rFonts w:ascii="仿宋_GB2312" w:eastAsia="仿宋_GB2312" w:hint="eastAsia"/>
                <w:color w:val="000000"/>
                <w:sz w:val="18"/>
                <w:szCs w:val="18"/>
              </w:rPr>
              <w:t>根据《浙江省人民政府关于深化行政执法体制改革全面推进综合行政执法的意见》文件精神，市综合行政执法局集中行使市容环境卫生、城乡规划、园林绿化、市政公用等方面综合行政执法职权，负责组织开展全市性重大综合行政执法活动和专项活动，负责受理城市管理与行政执法中的投诉、应诉和行政复议工作，协调城区防汛、抗台工作，负责城市管理中各类突发事件应急指挥和组织处置工作，牵头组织三改一拆、四边三化、小城镇环境综合整治乱拉线整治工作等。</w:t>
            </w:r>
          </w:p>
        </w:tc>
        <w:tc>
          <w:tcPr>
            <w:tcW w:w="1559"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10</w:t>
            </w:r>
          </w:p>
        </w:tc>
      </w:tr>
      <w:tr w:rsidR="00B01721" w:rsidTr="00255F62">
        <w:tblPrEx>
          <w:tblBorders>
            <w:insideH w:val="none" w:sz="0" w:space="0" w:color="auto"/>
            <w:insideV w:val="none" w:sz="0" w:space="0" w:color="auto"/>
          </w:tblBorders>
        </w:tblPrEx>
        <w:trPr>
          <w:trHeight w:val="722"/>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预算执行率</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10</w:t>
            </w:r>
          </w:p>
        </w:tc>
        <w:tc>
          <w:tcPr>
            <w:tcW w:w="5678" w:type="dxa"/>
            <w:gridSpan w:val="5"/>
            <w:tcBorders>
              <w:top w:val="single" w:sz="4" w:space="0" w:color="auto"/>
              <w:left w:val="single" w:sz="4" w:space="0" w:color="auto"/>
              <w:bottom w:val="single" w:sz="4" w:space="0" w:color="auto"/>
              <w:right w:val="single" w:sz="4" w:space="0" w:color="auto"/>
            </w:tcBorders>
            <w:vAlign w:val="center"/>
          </w:tcPr>
          <w:p w:rsidR="00B01721" w:rsidRPr="00556241" w:rsidRDefault="00B01721" w:rsidP="00255F62">
            <w:pPr>
              <w:ind w:firstLineChars="200" w:firstLine="360"/>
              <w:rPr>
                <w:rFonts w:ascii="仿宋_GB2312" w:eastAsia="仿宋_GB2312"/>
                <w:sz w:val="18"/>
                <w:szCs w:val="18"/>
              </w:rPr>
            </w:pPr>
            <w:r>
              <w:rPr>
                <w:rFonts w:ascii="仿宋_GB2312" w:eastAsia="仿宋_GB2312" w:hint="eastAsia"/>
                <w:sz w:val="18"/>
                <w:szCs w:val="18"/>
              </w:rPr>
              <w:t>该项目预算安排140万元，财政支付140万元，年末结余0万元，预算执行率为100%。</w:t>
            </w:r>
            <w:r w:rsidRPr="00556241">
              <w:rPr>
                <w:rFonts w:ascii="仿宋_GB2312" w:eastAsia="仿宋_GB2312"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8</w:t>
            </w:r>
          </w:p>
        </w:tc>
      </w:tr>
      <w:tr w:rsidR="00B01721" w:rsidTr="00255F62">
        <w:tblPrEx>
          <w:tblBorders>
            <w:insideH w:val="none" w:sz="0" w:space="0" w:color="auto"/>
            <w:insideV w:val="none" w:sz="0" w:space="0" w:color="auto"/>
          </w:tblBorders>
        </w:tblPrEx>
        <w:trPr>
          <w:cantSplit/>
          <w:trHeight w:val="620"/>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项目组织管理水平</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15</w:t>
            </w:r>
          </w:p>
        </w:tc>
        <w:tc>
          <w:tcPr>
            <w:tcW w:w="5678" w:type="dxa"/>
            <w:gridSpan w:val="5"/>
            <w:tcBorders>
              <w:top w:val="single" w:sz="4" w:space="0" w:color="auto"/>
              <w:left w:val="single" w:sz="4" w:space="0" w:color="auto"/>
              <w:bottom w:val="single" w:sz="4" w:space="0" w:color="auto"/>
              <w:right w:val="single" w:sz="4" w:space="0" w:color="auto"/>
            </w:tcBorders>
            <w:vAlign w:val="center"/>
          </w:tcPr>
          <w:p w:rsidR="00B01721" w:rsidRPr="00556241" w:rsidRDefault="00B01721" w:rsidP="00255F62">
            <w:pPr>
              <w:ind w:firstLineChars="200" w:firstLine="360"/>
              <w:rPr>
                <w:rFonts w:ascii="仿宋_GB2312" w:eastAsia="仿宋_GB2312"/>
                <w:sz w:val="18"/>
                <w:szCs w:val="18"/>
              </w:rPr>
            </w:pPr>
            <w:r w:rsidRPr="00556241">
              <w:rPr>
                <w:rFonts w:ascii="仿宋_GB2312" w:eastAsia="仿宋_GB2312" w:hint="eastAsia"/>
                <w:sz w:val="18"/>
                <w:szCs w:val="18"/>
              </w:rPr>
              <w:t>该项目经费支出由温州市综合行政执法局计财处牵头协调，具体业务由各相关处室负责实施。</w:t>
            </w:r>
          </w:p>
        </w:tc>
        <w:tc>
          <w:tcPr>
            <w:tcW w:w="1559"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15</w:t>
            </w:r>
          </w:p>
        </w:tc>
      </w:tr>
      <w:tr w:rsidR="00B01721" w:rsidTr="00255F62">
        <w:tblPrEx>
          <w:tblBorders>
            <w:insideH w:val="none" w:sz="0" w:space="0" w:color="auto"/>
            <w:insideV w:val="none" w:sz="0" w:space="0" w:color="auto"/>
          </w:tblBorders>
        </w:tblPrEx>
        <w:trPr>
          <w:trHeight w:val="537"/>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资金支出</w:t>
            </w:r>
          </w:p>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合理合规</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15</w:t>
            </w:r>
          </w:p>
        </w:tc>
        <w:tc>
          <w:tcPr>
            <w:tcW w:w="5678" w:type="dxa"/>
            <w:gridSpan w:val="5"/>
            <w:tcBorders>
              <w:top w:val="single" w:sz="4" w:space="0" w:color="auto"/>
              <w:left w:val="single" w:sz="4" w:space="0" w:color="auto"/>
              <w:bottom w:val="single" w:sz="4" w:space="0" w:color="auto"/>
              <w:right w:val="single" w:sz="4" w:space="0" w:color="auto"/>
            </w:tcBorders>
            <w:vAlign w:val="center"/>
          </w:tcPr>
          <w:p w:rsidR="00B01721" w:rsidRPr="00556241" w:rsidRDefault="00B01721" w:rsidP="00255F62">
            <w:pPr>
              <w:ind w:firstLineChars="200" w:firstLine="360"/>
              <w:rPr>
                <w:rFonts w:ascii="仿宋_GB2312" w:eastAsia="仿宋_GB2312"/>
                <w:sz w:val="18"/>
                <w:szCs w:val="18"/>
              </w:rPr>
            </w:pPr>
            <w:r w:rsidRPr="00556241">
              <w:rPr>
                <w:rFonts w:ascii="仿宋_GB2312" w:eastAsia="仿宋_GB2312" w:hint="eastAsia"/>
                <w:sz w:val="18"/>
                <w:szCs w:val="18"/>
              </w:rPr>
              <w:t>合理合规支出</w:t>
            </w:r>
          </w:p>
        </w:tc>
        <w:tc>
          <w:tcPr>
            <w:tcW w:w="1559"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15</w:t>
            </w:r>
          </w:p>
        </w:tc>
      </w:tr>
      <w:tr w:rsidR="00B01721" w:rsidTr="00255F62">
        <w:tblPrEx>
          <w:tblBorders>
            <w:insideH w:val="none" w:sz="0" w:space="0" w:color="auto"/>
            <w:insideV w:val="none" w:sz="0" w:space="0" w:color="auto"/>
          </w:tblBorders>
        </w:tblPrEx>
        <w:trPr>
          <w:cantSplit/>
          <w:trHeight w:val="1235"/>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lastRenderedPageBreak/>
              <w:t>项目产出</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30</w:t>
            </w:r>
          </w:p>
        </w:tc>
        <w:tc>
          <w:tcPr>
            <w:tcW w:w="5678" w:type="dxa"/>
            <w:gridSpan w:val="5"/>
            <w:tcBorders>
              <w:top w:val="single" w:sz="4" w:space="0" w:color="auto"/>
              <w:left w:val="single" w:sz="4" w:space="0" w:color="auto"/>
              <w:bottom w:val="nil"/>
              <w:right w:val="single" w:sz="4" w:space="0" w:color="auto"/>
            </w:tcBorders>
            <w:vAlign w:val="center"/>
          </w:tcPr>
          <w:p w:rsidR="00B01721" w:rsidRPr="00EF478C" w:rsidRDefault="00B01721" w:rsidP="00255F62">
            <w:pPr>
              <w:spacing w:line="300" w:lineRule="exact"/>
              <w:ind w:firstLineChars="200" w:firstLine="360"/>
              <w:rPr>
                <w:rFonts w:ascii="仿宋_GB2312" w:eastAsia="仿宋_GB2312"/>
                <w:color w:val="000000"/>
                <w:sz w:val="18"/>
                <w:szCs w:val="18"/>
              </w:rPr>
            </w:pPr>
            <w:r w:rsidRPr="00EF478C">
              <w:rPr>
                <w:rFonts w:ascii="仿宋_GB2312" w:eastAsia="仿宋_GB2312" w:cs="Times New Roman" w:hint="eastAsia"/>
                <w:kern w:val="2"/>
                <w:sz w:val="18"/>
                <w:szCs w:val="18"/>
              </w:rPr>
              <w:t>以项目实施为抓手，以强化行业监管、保障服务民生为出发点，不断加强市容环卫和市政公用设施的运行管理，精心组织三改一拆、道路综合整治、四边三化等专项行动，强化城市防台防汛工作，精心当好“城市管家”。2018年，深化“三改一拆”，</w:t>
            </w:r>
            <w:r w:rsidRPr="00EF478C">
              <w:rPr>
                <w:rFonts w:ascii="仿宋_GB2312" w:eastAsia="仿宋_GB2312" w:hAnsi="黑体" w:cs="仿宋_GB2312" w:hint="eastAsia"/>
                <w:sz w:val="18"/>
                <w:szCs w:val="18"/>
              </w:rPr>
              <w:t>扎实推进违法建筑处置专项行动，</w:t>
            </w:r>
            <w:r w:rsidRPr="00EF478C">
              <w:rPr>
                <w:rFonts w:ascii="仿宋_GB2312" w:eastAsia="仿宋_GB2312" w:hAnsi="仿宋" w:hint="eastAsia"/>
                <w:sz w:val="18"/>
                <w:szCs w:val="18"/>
              </w:rPr>
              <w:t>查处新建违法建筑3896起，组织或参加拆违行动7180次，</w:t>
            </w:r>
            <w:r w:rsidRPr="00EF478C">
              <w:rPr>
                <w:rFonts w:ascii="仿宋_GB2312" w:eastAsia="仿宋_GB2312" w:hAnsi="仿宋_GB2312" w:cs="仿宋_GB2312" w:hint="eastAsia"/>
                <w:sz w:val="18"/>
                <w:szCs w:val="18"/>
              </w:rPr>
              <w:t>全市累计已创成“</w:t>
            </w:r>
            <w:r w:rsidRPr="00EF478C">
              <w:rPr>
                <w:rFonts w:ascii="仿宋_GB2312" w:eastAsia="仿宋_GB2312" w:hAnsi="仿宋_GB2312" w:cs="仿宋_GB2312" w:hint="eastAsia"/>
                <w:spacing w:val="-4"/>
                <w:sz w:val="18"/>
                <w:szCs w:val="18"/>
              </w:rPr>
              <w:t>无违建县（市、区）</w:t>
            </w:r>
            <w:r w:rsidRPr="00EF478C">
              <w:rPr>
                <w:rFonts w:ascii="仿宋_GB2312" w:eastAsia="仿宋_GB2312" w:hAnsi="仿宋_GB2312" w:cs="仿宋_GB2312" w:hint="eastAsia"/>
                <w:sz w:val="18"/>
                <w:szCs w:val="18"/>
              </w:rPr>
              <w:t>”2个、</w:t>
            </w:r>
            <w:r w:rsidRPr="00EF478C">
              <w:rPr>
                <w:rFonts w:ascii="仿宋_GB2312" w:eastAsia="仿宋_GB2312" w:hAnsi="仿宋_GB2312" w:cs="仿宋_GB2312" w:hint="eastAsia"/>
                <w:spacing w:val="-4"/>
                <w:sz w:val="18"/>
                <w:szCs w:val="18"/>
              </w:rPr>
              <w:t>“基本无违建县（市、区）”3个，</w:t>
            </w:r>
            <w:r w:rsidRPr="00EF478C">
              <w:rPr>
                <w:rFonts w:ascii="仿宋_GB2312" w:eastAsia="仿宋_GB2312" w:hAnsi="仿宋_GB2312" w:cs="仿宋_GB2312" w:hint="eastAsia"/>
                <w:sz w:val="18"/>
                <w:szCs w:val="18"/>
              </w:rPr>
              <w:t>“基本无违建乡镇（街道）”158个</w:t>
            </w:r>
            <w:r w:rsidRPr="00EF478C">
              <w:rPr>
                <w:rFonts w:ascii="仿宋_GB2312" w:eastAsia="仿宋_GB2312" w:hint="eastAsia"/>
                <w:sz w:val="18"/>
                <w:szCs w:val="18"/>
              </w:rPr>
              <w:t>。</w:t>
            </w:r>
            <w:r w:rsidRPr="00EF478C">
              <w:rPr>
                <w:rFonts w:ascii="仿宋_GB2312" w:eastAsia="仿宋_GB2312" w:cs="Times New Roman" w:hint="eastAsia"/>
                <w:kern w:val="2"/>
                <w:sz w:val="18"/>
                <w:szCs w:val="18"/>
              </w:rPr>
              <w:t>深化城市管理治乱行动，集中梳理一批城市管理的痛点作为执法重点，依法管理占道经营13万家次，查处人行道违停34万辆次，清理小广告3.8万起，依照市容管理条例立案查处4583起。深化道路综合整治，完成市区道路综合整治三年行动计划(2016-2018年)共40</w:t>
            </w:r>
            <w:r>
              <w:rPr>
                <w:rFonts w:ascii="仿宋_GB2312" w:eastAsia="仿宋_GB2312" w:hint="eastAsia"/>
                <w:sz w:val="18"/>
                <w:szCs w:val="18"/>
              </w:rPr>
              <w:t>条道路综合整治。</w:t>
            </w:r>
            <w:r w:rsidRPr="00EF478C">
              <w:rPr>
                <w:rFonts w:ascii="仿宋_GB2312" w:eastAsia="仿宋_GB2312" w:cs="Times New Roman" w:hint="eastAsia"/>
                <w:kern w:val="2"/>
                <w:sz w:val="18"/>
                <w:szCs w:val="18"/>
              </w:rPr>
              <w:t>深化民生实事办理，共完成民生实事任务8项，全市建设绿道（人行游步道）104.16公里，市区改造提升自行车道93.4公里，新增管道燃气用户7.35万户，改造提升城市厕所273座，创建省级、市级生活垃圾分类示范小区各20个，城镇生活垃圾资源化利用率达到92%以上、城镇生活垃圾无害化处理率达到100%。</w:t>
            </w:r>
          </w:p>
        </w:tc>
        <w:tc>
          <w:tcPr>
            <w:tcW w:w="1559" w:type="dxa"/>
            <w:tcBorders>
              <w:top w:val="single" w:sz="4" w:space="0" w:color="auto"/>
              <w:left w:val="single" w:sz="4" w:space="0" w:color="auto"/>
              <w:bottom w:val="nil"/>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30</w:t>
            </w:r>
          </w:p>
        </w:tc>
      </w:tr>
      <w:tr w:rsidR="00B01721" w:rsidTr="00255F62">
        <w:tblPrEx>
          <w:tblBorders>
            <w:insideH w:val="none" w:sz="0" w:space="0" w:color="auto"/>
            <w:insideV w:val="none" w:sz="0" w:space="0" w:color="auto"/>
          </w:tblBorders>
        </w:tblPrEx>
        <w:trPr>
          <w:cantSplit/>
          <w:trHeight w:val="841"/>
        </w:trPr>
        <w:tc>
          <w:tcPr>
            <w:tcW w:w="1051"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项目效益（效果）</w:t>
            </w:r>
          </w:p>
        </w:tc>
        <w:tc>
          <w:tcPr>
            <w:tcW w:w="807"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20</w:t>
            </w:r>
          </w:p>
        </w:tc>
        <w:tc>
          <w:tcPr>
            <w:tcW w:w="5678" w:type="dxa"/>
            <w:gridSpan w:val="5"/>
            <w:tcBorders>
              <w:top w:val="single" w:sz="4" w:space="0" w:color="auto"/>
              <w:left w:val="single" w:sz="4" w:space="0" w:color="auto"/>
              <w:right w:val="single" w:sz="4" w:space="0" w:color="auto"/>
            </w:tcBorders>
            <w:vAlign w:val="center"/>
          </w:tcPr>
          <w:p w:rsidR="00B01721" w:rsidRDefault="00B01721" w:rsidP="00255F62">
            <w:pPr>
              <w:spacing w:line="320" w:lineRule="exact"/>
              <w:ind w:firstLineChars="150" w:firstLine="270"/>
              <w:rPr>
                <w:rFonts w:ascii="仿宋_GB2312" w:eastAsia="仿宋_GB2312"/>
                <w:color w:val="000000"/>
                <w:sz w:val="18"/>
                <w:szCs w:val="18"/>
              </w:rPr>
            </w:pPr>
            <w:r>
              <w:rPr>
                <w:rFonts w:ascii="仿宋_GB2312" w:eastAsia="仿宋_GB2312" w:hint="eastAsia"/>
                <w:color w:val="000000"/>
                <w:sz w:val="18"/>
                <w:szCs w:val="18"/>
              </w:rPr>
              <w:t>有效提升环境整体水平，提升视觉效果，改善人居环境，提升城市形象和品味，打造美丽温州。</w:t>
            </w:r>
          </w:p>
        </w:tc>
        <w:tc>
          <w:tcPr>
            <w:tcW w:w="1559" w:type="dxa"/>
            <w:tcBorders>
              <w:top w:val="single" w:sz="4" w:space="0" w:color="auto"/>
              <w:left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20</w:t>
            </w:r>
          </w:p>
        </w:tc>
      </w:tr>
      <w:tr w:rsidR="00B01721" w:rsidTr="00255F62">
        <w:tblPrEx>
          <w:tblBorders>
            <w:insideH w:val="none" w:sz="0" w:space="0" w:color="auto"/>
            <w:insideV w:val="none" w:sz="0" w:space="0" w:color="auto"/>
          </w:tblBorders>
        </w:tblPrEx>
        <w:trPr>
          <w:cantSplit/>
          <w:trHeight w:val="286"/>
        </w:trPr>
        <w:tc>
          <w:tcPr>
            <w:tcW w:w="1051"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合计</w:t>
            </w:r>
          </w:p>
        </w:tc>
        <w:tc>
          <w:tcPr>
            <w:tcW w:w="807"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100</w:t>
            </w:r>
          </w:p>
        </w:tc>
        <w:tc>
          <w:tcPr>
            <w:tcW w:w="5678" w:type="dxa"/>
            <w:gridSpan w:val="5"/>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01721" w:rsidRDefault="00B01721" w:rsidP="00255F62">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98</w:t>
            </w:r>
          </w:p>
        </w:tc>
      </w:tr>
    </w:tbl>
    <w:p w:rsidR="00B01721" w:rsidRDefault="00B01721" w:rsidP="00B01721"/>
    <w:p w:rsidR="00B01721" w:rsidRPr="004A6C5A" w:rsidRDefault="00B01721" w:rsidP="004A6C5A">
      <w:pPr>
        <w:jc w:val="center"/>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动物饲料及医药</w:t>
      </w:r>
      <w:r w:rsidRPr="00695EC7">
        <w:rPr>
          <w:rFonts w:ascii="方正小标宋简体" w:eastAsia="方正小标宋简体" w:hAnsi="黑体" w:hint="eastAsia"/>
          <w:color w:val="000000"/>
          <w:sz w:val="36"/>
          <w:szCs w:val="36"/>
        </w:rPr>
        <w:t>费项目绩效自评表</w:t>
      </w:r>
      <w:r w:rsidRPr="006E3858">
        <w:rPr>
          <w:rFonts w:ascii="方正小标宋简体" w:eastAsia="方正小标宋简体" w:hAnsi="黑体" w:hint="eastAsia"/>
          <w:color w:val="000000"/>
        </w:rPr>
        <w:t>（2018年）</w:t>
      </w:r>
    </w:p>
    <w:p w:rsidR="00B01721" w:rsidRPr="001308F6" w:rsidRDefault="00B01721" w:rsidP="00B01721">
      <w:pPr>
        <w:snapToGrid w:val="0"/>
        <w:spacing w:line="360" w:lineRule="exact"/>
        <w:ind w:right="420"/>
        <w:jc w:val="center"/>
        <w:rPr>
          <w:rFonts w:ascii="仿宋_GB2312" w:eastAsia="仿宋_GB2312" w:hAnsi="SimSun-ExtB"/>
          <w:color w:val="000000"/>
          <w:szCs w:val="21"/>
        </w:rPr>
      </w:pPr>
      <w:r>
        <w:rPr>
          <w:rFonts w:ascii="仿宋_GB2312" w:eastAsia="仿宋_GB2312" w:hAnsi="SimSun-ExtB" w:hint="eastAsia"/>
          <w:color w:val="000000"/>
          <w:szCs w:val="21"/>
        </w:rPr>
        <w:t xml:space="preserve">            </w:t>
      </w:r>
      <w:r w:rsidRPr="001308F6">
        <w:rPr>
          <w:rFonts w:ascii="仿宋_GB2312" w:eastAsia="仿宋_GB2312" w:hAnsi="SimSun-ExtB" w:hint="eastAsia"/>
          <w:color w:val="000000"/>
          <w:szCs w:val="21"/>
        </w:rPr>
        <w:t xml:space="preserve">                                       </w:t>
      </w:r>
      <w:r w:rsidRPr="001308F6">
        <w:rPr>
          <w:rFonts w:ascii="仿宋_GB2312" w:eastAsia="仿宋_GB2312" w:hint="eastAsia"/>
          <w:color w:val="000000"/>
          <w:szCs w:val="21"/>
        </w:rPr>
        <w:t>金额单位：万元</w:t>
      </w:r>
    </w:p>
    <w:tbl>
      <w:tblPr>
        <w:tblW w:w="966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6"/>
        <w:gridCol w:w="995"/>
        <w:gridCol w:w="189"/>
        <w:gridCol w:w="1034"/>
        <w:gridCol w:w="402"/>
        <w:gridCol w:w="1271"/>
        <w:gridCol w:w="1553"/>
        <w:gridCol w:w="1475"/>
        <w:gridCol w:w="1447"/>
      </w:tblGrid>
      <w:tr w:rsidR="00B01721" w:rsidRPr="001308F6" w:rsidTr="00255F62">
        <w:trPr>
          <w:trHeight w:val="483"/>
        </w:trPr>
        <w:tc>
          <w:tcPr>
            <w:tcW w:w="1296" w:type="dxa"/>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项目单位</w:t>
            </w:r>
          </w:p>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名称</w:t>
            </w:r>
          </w:p>
        </w:tc>
        <w:tc>
          <w:tcPr>
            <w:tcW w:w="2218" w:type="dxa"/>
            <w:gridSpan w:val="3"/>
            <w:vAlign w:val="center"/>
          </w:tcPr>
          <w:p w:rsidR="00B01721" w:rsidRPr="001308F6" w:rsidRDefault="00B01721" w:rsidP="00255F62">
            <w:pPr>
              <w:snapToGrid w:val="0"/>
              <w:spacing w:line="320" w:lineRule="exact"/>
              <w:jc w:val="center"/>
              <w:rPr>
                <w:rFonts w:ascii="仿宋_GB2312" w:eastAsia="仿宋_GB2312" w:hAnsi="SimSun-ExtB"/>
                <w:color w:val="000000"/>
              </w:rPr>
            </w:pPr>
            <w:r>
              <w:rPr>
                <w:rFonts w:ascii="仿宋_GB2312" w:eastAsia="仿宋_GB2312" w:hint="eastAsia"/>
                <w:color w:val="000000"/>
              </w:rPr>
              <w:t>温州市景山森林公园管理处</w:t>
            </w:r>
          </w:p>
        </w:tc>
        <w:tc>
          <w:tcPr>
            <w:tcW w:w="1673" w:type="dxa"/>
            <w:gridSpan w:val="2"/>
            <w:vAlign w:val="center"/>
          </w:tcPr>
          <w:p w:rsidR="00B01721" w:rsidRPr="00695EC7" w:rsidRDefault="00B01721" w:rsidP="00255F62">
            <w:pPr>
              <w:snapToGrid w:val="0"/>
              <w:spacing w:line="320" w:lineRule="exact"/>
              <w:jc w:val="center"/>
              <w:rPr>
                <w:rFonts w:ascii="仿宋_GB2312" w:eastAsia="仿宋_GB2312"/>
                <w:color w:val="000000"/>
              </w:rPr>
            </w:pPr>
            <w:r w:rsidRPr="001308F6">
              <w:rPr>
                <w:rFonts w:ascii="仿宋_GB2312" w:eastAsia="仿宋_GB2312" w:hint="eastAsia"/>
                <w:color w:val="000000"/>
              </w:rPr>
              <w:t>项目名称</w:t>
            </w:r>
          </w:p>
        </w:tc>
        <w:tc>
          <w:tcPr>
            <w:tcW w:w="4475" w:type="dxa"/>
            <w:gridSpan w:val="3"/>
            <w:vAlign w:val="center"/>
          </w:tcPr>
          <w:p w:rsidR="00B01721" w:rsidRPr="00695EC7" w:rsidRDefault="00B01721" w:rsidP="00255F62">
            <w:pPr>
              <w:snapToGrid w:val="0"/>
              <w:spacing w:line="320" w:lineRule="exact"/>
              <w:jc w:val="center"/>
              <w:rPr>
                <w:rFonts w:ascii="仿宋_GB2312" w:eastAsia="仿宋_GB2312"/>
                <w:color w:val="000000"/>
              </w:rPr>
            </w:pPr>
            <w:r w:rsidRPr="00695EC7">
              <w:rPr>
                <w:rFonts w:ascii="仿宋_GB2312" w:eastAsia="仿宋_GB2312" w:hint="eastAsia"/>
                <w:color w:val="000000"/>
              </w:rPr>
              <w:t>动物饲料及医药费</w:t>
            </w:r>
          </w:p>
        </w:tc>
      </w:tr>
      <w:tr w:rsidR="00B01721" w:rsidRPr="001308F6" w:rsidTr="00255F62">
        <w:trPr>
          <w:trHeight w:val="357"/>
        </w:trPr>
        <w:tc>
          <w:tcPr>
            <w:tcW w:w="1296" w:type="dxa"/>
            <w:vMerge w:val="restart"/>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项目</w:t>
            </w:r>
          </w:p>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基本</w:t>
            </w:r>
          </w:p>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情况</w:t>
            </w:r>
          </w:p>
        </w:tc>
        <w:tc>
          <w:tcPr>
            <w:tcW w:w="1184"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上年结转</w:t>
            </w:r>
          </w:p>
        </w:tc>
        <w:tc>
          <w:tcPr>
            <w:tcW w:w="1436"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预算安排数</w:t>
            </w:r>
          </w:p>
        </w:tc>
        <w:tc>
          <w:tcPr>
            <w:tcW w:w="1271" w:type="dxa"/>
            <w:tcBorders>
              <w:right w:val="single" w:sz="4" w:space="0" w:color="auto"/>
            </w:tcBorders>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预算调整数</w:t>
            </w:r>
          </w:p>
        </w:tc>
        <w:tc>
          <w:tcPr>
            <w:tcW w:w="1553" w:type="dxa"/>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财政支付数</w:t>
            </w:r>
          </w:p>
        </w:tc>
        <w:tc>
          <w:tcPr>
            <w:tcW w:w="2922"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r w:rsidRPr="001308F6">
              <w:rPr>
                <w:rFonts w:ascii="仿宋_GB2312" w:eastAsia="仿宋_GB2312" w:hint="eastAsia"/>
                <w:color w:val="000000"/>
              </w:rPr>
              <w:t>预算</w:t>
            </w:r>
            <w:r>
              <w:rPr>
                <w:rFonts w:ascii="仿宋_GB2312" w:eastAsia="仿宋_GB2312" w:hint="eastAsia"/>
                <w:color w:val="000000"/>
              </w:rPr>
              <w:t>执行率</w:t>
            </w:r>
          </w:p>
        </w:tc>
      </w:tr>
      <w:tr w:rsidR="00B01721" w:rsidRPr="001308F6" w:rsidTr="00255F62">
        <w:trPr>
          <w:trHeight w:val="447"/>
        </w:trPr>
        <w:tc>
          <w:tcPr>
            <w:tcW w:w="1296" w:type="dxa"/>
            <w:vMerge/>
            <w:vAlign w:val="center"/>
          </w:tcPr>
          <w:p w:rsidR="00B01721" w:rsidRPr="001308F6" w:rsidRDefault="00B01721" w:rsidP="00255F62">
            <w:pPr>
              <w:snapToGrid w:val="0"/>
              <w:spacing w:line="320" w:lineRule="exact"/>
              <w:jc w:val="center"/>
              <w:rPr>
                <w:rFonts w:ascii="仿宋_GB2312" w:eastAsia="仿宋_GB2312" w:hAnsi="SimSun-ExtB"/>
                <w:color w:val="000000"/>
              </w:rPr>
            </w:pPr>
          </w:p>
        </w:tc>
        <w:tc>
          <w:tcPr>
            <w:tcW w:w="1184"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p>
        </w:tc>
        <w:tc>
          <w:tcPr>
            <w:tcW w:w="1436"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280</w:t>
            </w:r>
          </w:p>
        </w:tc>
        <w:tc>
          <w:tcPr>
            <w:tcW w:w="1271" w:type="dxa"/>
            <w:tcBorders>
              <w:right w:val="single" w:sz="4" w:space="0" w:color="auto"/>
            </w:tcBorders>
            <w:vAlign w:val="center"/>
          </w:tcPr>
          <w:p w:rsidR="00B01721" w:rsidRPr="001308F6" w:rsidRDefault="00B01721" w:rsidP="00255F62">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38</w:t>
            </w:r>
          </w:p>
        </w:tc>
        <w:tc>
          <w:tcPr>
            <w:tcW w:w="1553" w:type="dxa"/>
            <w:vAlign w:val="center"/>
          </w:tcPr>
          <w:p w:rsidR="00B01721" w:rsidRPr="001308F6" w:rsidRDefault="00B01721" w:rsidP="00255F62">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311.39</w:t>
            </w:r>
          </w:p>
        </w:tc>
        <w:tc>
          <w:tcPr>
            <w:tcW w:w="2922" w:type="dxa"/>
            <w:gridSpan w:val="2"/>
            <w:vAlign w:val="center"/>
          </w:tcPr>
          <w:p w:rsidR="00B01721" w:rsidRPr="001308F6" w:rsidRDefault="00B01721" w:rsidP="00255F62">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97.92%</w:t>
            </w:r>
          </w:p>
        </w:tc>
      </w:tr>
      <w:tr w:rsidR="00B01721" w:rsidRPr="001308F6" w:rsidTr="00255F62">
        <w:tblPrEx>
          <w:tblBorders>
            <w:insideH w:val="none" w:sz="0" w:space="0" w:color="auto"/>
            <w:insideV w:val="none" w:sz="0" w:space="0" w:color="auto"/>
          </w:tblBorders>
        </w:tblPrEx>
        <w:trPr>
          <w:trHeight w:val="383"/>
        </w:trPr>
        <w:tc>
          <w:tcPr>
            <w:tcW w:w="1296"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b/>
              </w:rPr>
            </w:pPr>
            <w:r w:rsidRPr="001308F6">
              <w:rPr>
                <w:rFonts w:ascii="仿宋_GB2312" w:eastAsia="仿宋_GB2312" w:hint="eastAsia"/>
                <w:b/>
              </w:rPr>
              <w:t>评价内容</w:t>
            </w:r>
          </w:p>
        </w:tc>
        <w:tc>
          <w:tcPr>
            <w:tcW w:w="995"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b/>
              </w:rPr>
            </w:pPr>
            <w:r w:rsidRPr="001308F6">
              <w:rPr>
                <w:rFonts w:ascii="仿宋_GB2312" w:eastAsia="仿宋_GB2312" w:hint="eastAsia"/>
                <w:b/>
              </w:rPr>
              <w:t>分值</w:t>
            </w:r>
          </w:p>
        </w:tc>
        <w:tc>
          <w:tcPr>
            <w:tcW w:w="5924" w:type="dxa"/>
            <w:gridSpan w:val="6"/>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b/>
              </w:rPr>
            </w:pPr>
            <w:r w:rsidRPr="001308F6">
              <w:rPr>
                <w:rFonts w:ascii="仿宋_GB2312" w:eastAsia="仿宋_GB2312" w:hint="eastAsia"/>
                <w:b/>
              </w:rPr>
              <w:t>自评简述</w:t>
            </w:r>
          </w:p>
        </w:tc>
        <w:tc>
          <w:tcPr>
            <w:tcW w:w="1447"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b/>
              </w:rPr>
            </w:pPr>
            <w:r w:rsidRPr="001308F6">
              <w:rPr>
                <w:rFonts w:ascii="仿宋_GB2312" w:eastAsia="仿宋_GB2312" w:hint="eastAsia"/>
                <w:b/>
              </w:rPr>
              <w:t>自评得分</w:t>
            </w:r>
          </w:p>
        </w:tc>
      </w:tr>
      <w:tr w:rsidR="00B01721" w:rsidRPr="001308F6" w:rsidTr="00255F62">
        <w:tblPrEx>
          <w:tblBorders>
            <w:insideH w:val="none" w:sz="0" w:space="0" w:color="auto"/>
            <w:insideV w:val="none" w:sz="0" w:space="0" w:color="auto"/>
          </w:tblBorders>
        </w:tblPrEx>
        <w:trPr>
          <w:trHeight w:val="1277"/>
        </w:trPr>
        <w:tc>
          <w:tcPr>
            <w:tcW w:w="1296"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项目预算及预期绩效目标编制水平</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10</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ind w:firstLineChars="200" w:firstLine="480"/>
              <w:rPr>
                <w:rFonts w:asciiTheme="minorEastAsia" w:eastAsiaTheme="minorEastAsia" w:hAnsiTheme="minorEastAsia"/>
                <w:color w:val="000000"/>
              </w:rPr>
            </w:pPr>
            <w:r>
              <w:rPr>
                <w:rFonts w:ascii="仿宋" w:eastAsia="仿宋" w:hAnsi="仿宋" w:cs="仿宋" w:hint="eastAsia"/>
                <w:color w:val="000000"/>
              </w:rPr>
              <w:t>根据项目</w:t>
            </w:r>
            <w:r w:rsidRPr="00695EC7">
              <w:rPr>
                <w:rFonts w:ascii="仿宋" w:eastAsia="仿宋" w:hAnsi="仿宋" w:cs="仿宋" w:hint="eastAsia"/>
                <w:color w:val="000000"/>
              </w:rPr>
              <w:t>编报的“动物饲料及医药费”预期绩效目标申报表，相关内容填报较完整，基本形成了投入与产出、效益对应的指标体系。</w:t>
            </w: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r>
      <w:tr w:rsidR="00B01721" w:rsidRPr="001308F6" w:rsidTr="00255F62">
        <w:tblPrEx>
          <w:tblBorders>
            <w:insideH w:val="none" w:sz="0" w:space="0" w:color="auto"/>
            <w:insideV w:val="none" w:sz="0" w:space="0" w:color="auto"/>
          </w:tblBorders>
        </w:tblPrEx>
        <w:trPr>
          <w:trHeight w:val="616"/>
        </w:trPr>
        <w:tc>
          <w:tcPr>
            <w:tcW w:w="1296"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预算执行率</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10</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ind w:firstLineChars="200" w:firstLine="480"/>
              <w:rPr>
                <w:rFonts w:asciiTheme="minorEastAsia" w:eastAsiaTheme="minorEastAsia" w:hAnsiTheme="minorEastAsia"/>
                <w:color w:val="000000"/>
              </w:rPr>
            </w:pPr>
            <w:r w:rsidRPr="00695EC7">
              <w:rPr>
                <w:rFonts w:ascii="仿宋" w:eastAsia="仿宋" w:hAnsi="仿宋" w:cs="仿宋" w:hint="eastAsia"/>
                <w:color w:val="000000"/>
              </w:rPr>
              <w:t>该项目年初预算280万元，年中追加38万元，实际支出311.39万元，预算执行率为98%。</w:t>
            </w: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r>
      <w:tr w:rsidR="00B01721" w:rsidRPr="001308F6" w:rsidTr="00255F62">
        <w:tblPrEx>
          <w:tblBorders>
            <w:insideH w:val="none" w:sz="0" w:space="0" w:color="auto"/>
            <w:insideV w:val="none" w:sz="0" w:space="0" w:color="auto"/>
          </w:tblBorders>
        </w:tblPrEx>
        <w:trPr>
          <w:cantSplit/>
          <w:trHeight w:val="620"/>
        </w:trPr>
        <w:tc>
          <w:tcPr>
            <w:tcW w:w="1296"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项目组织管理水平</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10</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ind w:firstLineChars="200" w:firstLine="480"/>
              <w:rPr>
                <w:rFonts w:asciiTheme="minorEastAsia" w:eastAsiaTheme="minorEastAsia" w:hAnsiTheme="minorEastAsia"/>
                <w:color w:val="000000"/>
              </w:rPr>
            </w:pPr>
            <w:r w:rsidRPr="00695EC7">
              <w:rPr>
                <w:rFonts w:ascii="仿宋" w:eastAsia="仿宋" w:hAnsi="仿宋" w:cs="仿宋" w:hint="eastAsia"/>
                <w:color w:val="000000"/>
              </w:rPr>
              <w:t>该项目由温州市景山森林公园管理处动管所负责实施，项目单位制定了《温州动物园饲料管理制度》、《温州动物园饲仓库管理制度》等，用于规范动物饲料及药品的管理和使用。</w:t>
            </w: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r>
      <w:tr w:rsidR="00B01721" w:rsidRPr="001308F6" w:rsidTr="00255F62">
        <w:tblPrEx>
          <w:tblBorders>
            <w:insideH w:val="none" w:sz="0" w:space="0" w:color="auto"/>
            <w:insideV w:val="none" w:sz="0" w:space="0" w:color="auto"/>
          </w:tblBorders>
        </w:tblPrEx>
        <w:trPr>
          <w:trHeight w:val="888"/>
        </w:trPr>
        <w:tc>
          <w:tcPr>
            <w:tcW w:w="1296" w:type="dxa"/>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rPr>
                <w:rFonts w:ascii="仿宋" w:eastAsia="仿宋" w:hAnsi="仿宋" w:cs="仿宋"/>
                <w:color w:val="000000"/>
              </w:rPr>
            </w:pPr>
            <w:r w:rsidRPr="00695EC7">
              <w:rPr>
                <w:rFonts w:ascii="仿宋" w:eastAsia="仿宋" w:hAnsi="仿宋" w:cs="仿宋" w:hint="eastAsia"/>
                <w:color w:val="000000"/>
              </w:rPr>
              <w:t>资金支出</w:t>
            </w:r>
          </w:p>
          <w:p w:rsidR="00B01721" w:rsidRPr="00695EC7" w:rsidRDefault="00B01721" w:rsidP="00255F62">
            <w:pPr>
              <w:spacing w:line="320" w:lineRule="exact"/>
              <w:rPr>
                <w:rFonts w:ascii="仿宋" w:eastAsia="仿宋" w:hAnsi="仿宋" w:cs="仿宋"/>
                <w:color w:val="000000"/>
              </w:rPr>
            </w:pPr>
            <w:r w:rsidRPr="00695EC7">
              <w:rPr>
                <w:rFonts w:ascii="仿宋" w:eastAsia="仿宋" w:hAnsi="仿宋" w:cs="仿宋" w:hint="eastAsia"/>
                <w:color w:val="000000"/>
              </w:rPr>
              <w:t>合规率</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jc w:val="center"/>
              <w:rPr>
                <w:rFonts w:ascii="仿宋" w:eastAsia="仿宋" w:hAnsi="仿宋" w:cs="仿宋"/>
                <w:color w:val="000000"/>
              </w:rPr>
            </w:pPr>
            <w:r w:rsidRPr="00695EC7">
              <w:rPr>
                <w:rFonts w:ascii="仿宋" w:eastAsia="仿宋" w:hAnsi="仿宋" w:cs="仿宋" w:hint="eastAsia"/>
                <w:color w:val="000000"/>
              </w:rPr>
              <w:t>10</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rPr>
                <w:rFonts w:ascii="仿宋" w:eastAsia="仿宋" w:hAnsi="仿宋" w:cs="仿宋"/>
                <w:color w:val="000000"/>
              </w:rPr>
            </w:pPr>
            <w:r>
              <w:rPr>
                <w:rFonts w:ascii="仿宋" w:eastAsia="仿宋" w:hAnsi="仿宋" w:cs="仿宋" w:hint="eastAsia"/>
                <w:color w:val="000000"/>
              </w:rPr>
              <w:t>合理</w:t>
            </w:r>
            <w:r w:rsidRPr="00695EC7">
              <w:rPr>
                <w:rFonts w:ascii="仿宋" w:eastAsia="仿宋" w:hAnsi="仿宋" w:cs="仿宋" w:hint="eastAsia"/>
                <w:color w:val="000000"/>
              </w:rPr>
              <w:t>合规支出。</w:t>
            </w: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r>
      <w:tr w:rsidR="00B01721" w:rsidRPr="001308F6" w:rsidTr="00255F62">
        <w:tblPrEx>
          <w:tblBorders>
            <w:insideH w:val="none" w:sz="0" w:space="0" w:color="auto"/>
            <w:insideV w:val="none" w:sz="0" w:space="0" w:color="auto"/>
          </w:tblBorders>
        </w:tblPrEx>
        <w:trPr>
          <w:trHeight w:val="792"/>
        </w:trPr>
        <w:tc>
          <w:tcPr>
            <w:tcW w:w="1296" w:type="dxa"/>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rPr>
                <w:rFonts w:ascii="仿宋" w:eastAsia="仿宋" w:hAnsi="仿宋" w:cs="仿宋"/>
                <w:color w:val="000000"/>
              </w:rPr>
            </w:pPr>
            <w:r w:rsidRPr="00695EC7">
              <w:rPr>
                <w:rFonts w:ascii="仿宋" w:eastAsia="仿宋" w:hAnsi="仿宋" w:cs="仿宋" w:hint="eastAsia"/>
                <w:color w:val="000000"/>
              </w:rPr>
              <w:lastRenderedPageBreak/>
              <w:t>资金支出</w:t>
            </w:r>
          </w:p>
          <w:p w:rsidR="00B01721" w:rsidRPr="00695EC7" w:rsidRDefault="00B01721" w:rsidP="00255F62">
            <w:pPr>
              <w:spacing w:line="320" w:lineRule="exact"/>
              <w:rPr>
                <w:rFonts w:ascii="仿宋" w:eastAsia="仿宋" w:hAnsi="仿宋" w:cs="仿宋"/>
                <w:color w:val="000000"/>
              </w:rPr>
            </w:pPr>
            <w:r w:rsidRPr="00695EC7">
              <w:rPr>
                <w:rFonts w:ascii="仿宋" w:eastAsia="仿宋" w:hAnsi="仿宋" w:cs="仿宋" w:hint="eastAsia"/>
                <w:color w:val="000000"/>
              </w:rPr>
              <w:t>相符率</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jc w:val="center"/>
              <w:rPr>
                <w:rFonts w:ascii="仿宋" w:eastAsia="仿宋" w:hAnsi="仿宋" w:cs="仿宋"/>
                <w:color w:val="000000"/>
              </w:rPr>
            </w:pPr>
            <w:r w:rsidRPr="00695EC7">
              <w:rPr>
                <w:rFonts w:ascii="仿宋" w:eastAsia="仿宋" w:hAnsi="仿宋" w:cs="仿宋" w:hint="eastAsia"/>
                <w:color w:val="000000"/>
              </w:rPr>
              <w:t>15</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695EC7" w:rsidRDefault="00B01721" w:rsidP="00255F62">
            <w:pPr>
              <w:spacing w:line="320" w:lineRule="exact"/>
              <w:rPr>
                <w:rFonts w:ascii="仿宋" w:eastAsia="仿宋" w:hAnsi="仿宋" w:cs="仿宋"/>
                <w:color w:val="000000"/>
              </w:rPr>
            </w:pPr>
            <w:r w:rsidRPr="00695EC7">
              <w:rPr>
                <w:rFonts w:ascii="仿宋" w:eastAsia="仿宋" w:hAnsi="仿宋" w:cs="仿宋" w:hint="eastAsia"/>
                <w:color w:val="000000"/>
              </w:rPr>
              <w:t>与年初预算相符</w:t>
            </w: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15</w:t>
            </w:r>
          </w:p>
        </w:tc>
      </w:tr>
      <w:tr w:rsidR="00B01721" w:rsidRPr="001308F6" w:rsidTr="00255F62">
        <w:tblPrEx>
          <w:tblBorders>
            <w:insideH w:val="none" w:sz="0" w:space="0" w:color="auto"/>
            <w:insideV w:val="none" w:sz="0" w:space="0" w:color="auto"/>
          </w:tblBorders>
        </w:tblPrEx>
        <w:trPr>
          <w:cantSplit/>
          <w:trHeight w:val="1235"/>
        </w:trPr>
        <w:tc>
          <w:tcPr>
            <w:tcW w:w="1296"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项目产出</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25</w:t>
            </w:r>
          </w:p>
        </w:tc>
        <w:tc>
          <w:tcPr>
            <w:tcW w:w="5924" w:type="dxa"/>
            <w:gridSpan w:val="6"/>
            <w:tcBorders>
              <w:top w:val="single" w:sz="4" w:space="0" w:color="auto"/>
              <w:left w:val="single" w:sz="4" w:space="0" w:color="auto"/>
              <w:bottom w:val="nil"/>
              <w:right w:val="single" w:sz="4" w:space="0" w:color="auto"/>
            </w:tcBorders>
            <w:vAlign w:val="center"/>
          </w:tcPr>
          <w:p w:rsidR="00B01721" w:rsidRDefault="00B01721" w:rsidP="00255F62">
            <w:pPr>
              <w:spacing w:line="320" w:lineRule="exact"/>
              <w:ind w:firstLineChars="200" w:firstLine="480"/>
              <w:rPr>
                <w:rFonts w:ascii="仿宋" w:eastAsia="仿宋" w:hAnsi="仿宋" w:cs="仿宋"/>
                <w:color w:val="000000"/>
              </w:rPr>
            </w:pPr>
            <w:r>
              <w:rPr>
                <w:rFonts w:ascii="仿宋" w:eastAsia="仿宋" w:hAnsi="仿宋" w:cs="仿宋" w:hint="eastAsia"/>
                <w:color w:val="000000"/>
              </w:rPr>
              <w:t>1.</w:t>
            </w:r>
            <w:r w:rsidR="00C2036D">
              <w:rPr>
                <w:rFonts w:ascii="仿宋" w:eastAsia="仿宋" w:hAnsi="仿宋" w:cs="仿宋" w:hint="eastAsia"/>
                <w:color w:val="000000"/>
              </w:rPr>
              <w:t>采购各类动物饲料，基本保障</w:t>
            </w:r>
            <w:r>
              <w:rPr>
                <w:rFonts w:ascii="仿宋" w:eastAsia="仿宋" w:hAnsi="仿宋" w:cs="仿宋" w:hint="eastAsia"/>
                <w:color w:val="000000"/>
              </w:rPr>
              <w:t>动物园各种动物的日常消耗。</w:t>
            </w:r>
          </w:p>
          <w:p w:rsidR="00B01721" w:rsidRDefault="00B01721" w:rsidP="00255F62">
            <w:pPr>
              <w:spacing w:line="320" w:lineRule="exact"/>
              <w:ind w:firstLineChars="200" w:firstLine="480"/>
              <w:rPr>
                <w:rFonts w:ascii="仿宋" w:eastAsia="仿宋" w:hAnsi="仿宋" w:cs="仿宋"/>
                <w:color w:val="000000"/>
              </w:rPr>
            </w:pPr>
            <w:r>
              <w:rPr>
                <w:rFonts w:ascii="仿宋" w:eastAsia="仿宋" w:hAnsi="仿宋" w:cs="仿宋" w:hint="eastAsia"/>
                <w:color w:val="000000"/>
              </w:rPr>
              <w:t>2.采购、保管足量的各类药品，保障动物们在园区内的正常的活动和生存，做到动物生病能够及时治疗。</w:t>
            </w:r>
          </w:p>
          <w:p w:rsidR="00B01721" w:rsidRPr="00FD0E05" w:rsidRDefault="00B01721" w:rsidP="00C2036D">
            <w:pPr>
              <w:spacing w:line="320" w:lineRule="exact"/>
              <w:ind w:firstLineChars="200" w:firstLine="480"/>
              <w:rPr>
                <w:rFonts w:asciiTheme="minorEastAsia" w:eastAsiaTheme="minorEastAsia" w:hAnsiTheme="minorEastAsia"/>
                <w:color w:val="000000"/>
              </w:rPr>
            </w:pPr>
            <w:r>
              <w:rPr>
                <w:rFonts w:ascii="仿宋" w:eastAsia="仿宋" w:hAnsi="仿宋" w:cs="仿宋" w:hint="eastAsia"/>
                <w:color w:val="000000"/>
              </w:rPr>
              <w:t>3.根据项目单位提供的2018年现存动物统计，年初在园动物579只，2018新繁殖动物47只，死亡动物57只。</w:t>
            </w:r>
          </w:p>
        </w:tc>
        <w:tc>
          <w:tcPr>
            <w:tcW w:w="1447" w:type="dxa"/>
            <w:tcBorders>
              <w:top w:val="single" w:sz="4" w:space="0" w:color="auto"/>
              <w:left w:val="single" w:sz="4" w:space="0" w:color="auto"/>
              <w:bottom w:val="nil"/>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25</w:t>
            </w:r>
          </w:p>
        </w:tc>
      </w:tr>
      <w:tr w:rsidR="00B01721" w:rsidRPr="001308F6" w:rsidTr="00255F62">
        <w:tblPrEx>
          <w:tblBorders>
            <w:insideH w:val="none" w:sz="0" w:space="0" w:color="auto"/>
            <w:insideV w:val="none" w:sz="0" w:space="0" w:color="auto"/>
          </w:tblBorders>
        </w:tblPrEx>
        <w:trPr>
          <w:cantSplit/>
          <w:trHeight w:val="841"/>
        </w:trPr>
        <w:tc>
          <w:tcPr>
            <w:tcW w:w="1296"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项目效益（效果）</w:t>
            </w:r>
          </w:p>
        </w:tc>
        <w:tc>
          <w:tcPr>
            <w:tcW w:w="995"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20</w:t>
            </w:r>
          </w:p>
        </w:tc>
        <w:tc>
          <w:tcPr>
            <w:tcW w:w="5924" w:type="dxa"/>
            <w:gridSpan w:val="6"/>
            <w:tcBorders>
              <w:top w:val="single" w:sz="4" w:space="0" w:color="auto"/>
              <w:left w:val="single" w:sz="4" w:space="0" w:color="auto"/>
              <w:right w:val="single" w:sz="4" w:space="0" w:color="auto"/>
            </w:tcBorders>
            <w:vAlign w:val="center"/>
          </w:tcPr>
          <w:p w:rsidR="00B01721" w:rsidRPr="002122B1" w:rsidRDefault="00B01721" w:rsidP="00255F62">
            <w:pPr>
              <w:spacing w:line="320" w:lineRule="exact"/>
              <w:ind w:firstLineChars="200" w:firstLine="480"/>
              <w:rPr>
                <w:rFonts w:ascii="仿宋" w:eastAsia="仿宋" w:hAnsi="仿宋" w:cs="仿宋"/>
                <w:color w:val="000000"/>
              </w:rPr>
            </w:pPr>
            <w:r>
              <w:rPr>
                <w:rFonts w:ascii="仿宋" w:eastAsia="仿宋" w:hAnsi="仿宋" w:cs="仿宋" w:hint="eastAsia"/>
                <w:color w:val="000000"/>
              </w:rPr>
              <w:t>通过该项目的实施，为温州市动物园的各类动物提供全面的饮食和医药服务，打造一个适宜生存和居住的环境；保障动物园常驻动物数量，从而吸引更多游客游玩和入园观赏，2018年全年接待游客80万人次。</w:t>
            </w:r>
          </w:p>
        </w:tc>
        <w:tc>
          <w:tcPr>
            <w:tcW w:w="1447" w:type="dxa"/>
            <w:tcBorders>
              <w:top w:val="single" w:sz="4" w:space="0" w:color="auto"/>
              <w:left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20</w:t>
            </w:r>
          </w:p>
        </w:tc>
      </w:tr>
      <w:tr w:rsidR="00B01721" w:rsidRPr="001308F6" w:rsidTr="00255F62">
        <w:tblPrEx>
          <w:tblBorders>
            <w:insideH w:val="none" w:sz="0" w:space="0" w:color="auto"/>
            <w:insideV w:val="none" w:sz="0" w:space="0" w:color="auto"/>
          </w:tblBorders>
        </w:tblPrEx>
        <w:trPr>
          <w:cantSplit/>
          <w:trHeight w:val="636"/>
        </w:trPr>
        <w:tc>
          <w:tcPr>
            <w:tcW w:w="1296"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int="eastAsia"/>
                <w:color w:val="000000"/>
              </w:rPr>
              <w:t>合计</w:t>
            </w:r>
          </w:p>
        </w:tc>
        <w:tc>
          <w:tcPr>
            <w:tcW w:w="995"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sidRPr="001308F6">
              <w:rPr>
                <w:rFonts w:ascii="仿宋_GB2312" w:eastAsia="仿宋_GB2312" w:hAnsi="SimSun-ExtB" w:hint="eastAsia"/>
                <w:color w:val="000000"/>
              </w:rPr>
              <w:t>100</w:t>
            </w:r>
          </w:p>
        </w:tc>
        <w:tc>
          <w:tcPr>
            <w:tcW w:w="5924" w:type="dxa"/>
            <w:gridSpan w:val="6"/>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p>
        </w:tc>
        <w:tc>
          <w:tcPr>
            <w:tcW w:w="1447" w:type="dxa"/>
            <w:tcBorders>
              <w:top w:val="single" w:sz="4" w:space="0" w:color="auto"/>
              <w:left w:val="single" w:sz="4" w:space="0" w:color="auto"/>
              <w:bottom w:val="single" w:sz="4" w:space="0" w:color="auto"/>
              <w:right w:val="single" w:sz="4" w:space="0" w:color="auto"/>
            </w:tcBorders>
            <w:vAlign w:val="center"/>
          </w:tcPr>
          <w:p w:rsidR="00B01721" w:rsidRPr="001308F6" w:rsidRDefault="00B01721" w:rsidP="00255F62">
            <w:pPr>
              <w:spacing w:line="320" w:lineRule="exact"/>
              <w:jc w:val="center"/>
              <w:rPr>
                <w:rFonts w:ascii="仿宋_GB2312" w:eastAsia="仿宋_GB2312" w:hAnsi="SimSun-ExtB"/>
                <w:color w:val="000000"/>
              </w:rPr>
            </w:pPr>
            <w:r>
              <w:rPr>
                <w:rFonts w:ascii="仿宋_GB2312" w:eastAsia="仿宋_GB2312" w:hAnsi="SimSun-ExtB" w:hint="eastAsia"/>
                <w:color w:val="000000"/>
              </w:rPr>
              <w:t>100</w:t>
            </w:r>
          </w:p>
        </w:tc>
      </w:tr>
    </w:tbl>
    <w:p w:rsidR="006813DE" w:rsidRDefault="00015ACD" w:rsidP="00B01721">
      <w:pPr>
        <w:shd w:val="clear" w:color="auto" w:fill="FFFFFF"/>
        <w:spacing w:line="600" w:lineRule="atLeast"/>
        <w:ind w:firstLineChars="200" w:firstLine="643"/>
        <w:jc w:val="both"/>
      </w:pPr>
      <w:r>
        <w:rPr>
          <w:rStyle w:val="a6"/>
          <w:rFonts w:ascii="仿宋" w:eastAsia="仿宋" w:hAnsi="仿宋" w:cs="Arial" w:hint="eastAsia"/>
          <w:sz w:val="32"/>
          <w:szCs w:val="32"/>
        </w:rPr>
        <w:t>3.以部门为主体开展的重点绩效评价结果。2018年度本部门组织开展绩效评价项目零个。</w:t>
      </w:r>
    </w:p>
    <w:p w:rsidR="006813DE" w:rsidRDefault="00015ACD">
      <w:pPr>
        <w:shd w:val="clear" w:color="auto" w:fill="FFFFFF"/>
        <w:spacing w:line="600" w:lineRule="atLeast"/>
        <w:ind w:firstLine="640"/>
        <w:jc w:val="both"/>
        <w:rPr>
          <w:rStyle w:val="a6"/>
          <w:rFonts w:ascii="仿宋" w:eastAsia="仿宋" w:hAnsi="仿宋" w:cs="Arial"/>
          <w:sz w:val="32"/>
          <w:szCs w:val="32"/>
        </w:rPr>
      </w:pPr>
      <w:r>
        <w:rPr>
          <w:rStyle w:val="a6"/>
          <w:rFonts w:ascii="仿宋" w:eastAsia="仿宋" w:hAnsi="仿宋" w:cs="Arial" w:hint="eastAsia"/>
          <w:sz w:val="32"/>
          <w:szCs w:val="32"/>
        </w:rPr>
        <w:t>4.财政部门组织开展的绩效评价结果。</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本部门由财政部门组织开展的绩效评价项目3个，预算金额共计502.57万元。其中：评价结果等次为优秀的项目1个，分别是城市管理专项经费项目,预算金额140万元，执行数为140万元，完成预算的100%。项目资金主要用于办案经费、市容环卫、市政公用等专项整治、小城镇综合整治“线乱拉”专项整治、行政执法应急处置;城市防台防汛经费、现场踏勘经费、诉讼执法费、明查暗访、 三改一拆、四边三化、城市管理等其他专项整治费。评价等次为良好的项目2个，分别是①综合执法服装费项目, 预算金额44.57万元，执行数为23.55万元，完成预</w:t>
      </w:r>
      <w:r>
        <w:rPr>
          <w:rFonts w:ascii="仿宋" w:eastAsia="仿宋" w:hAnsi="仿宋" w:cs="Arial" w:hint="eastAsia"/>
          <w:sz w:val="32"/>
          <w:szCs w:val="32"/>
        </w:rPr>
        <w:lastRenderedPageBreak/>
        <w:t>算的52.83%。项目资金主要用于温州市综合行政执法局在职在编一线队员制服及装具；②动物饲料及医药费项目, 预算金额318万元，执行数为311.39万元，完成预算的97.92%。项目资金主要用于动物园饲料、预防、消毒、医院费等。</w:t>
      </w:r>
    </w:p>
    <w:p w:rsidR="006813DE" w:rsidRDefault="00015ACD">
      <w:pPr>
        <w:shd w:val="clear" w:color="auto" w:fill="FFFFFF"/>
        <w:spacing w:line="600" w:lineRule="atLeast"/>
        <w:ind w:firstLine="640"/>
        <w:jc w:val="both"/>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（十）其他重要事项的情况说明</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1.机关运行经费支出情况。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2018年度机关运行经费支出443.55万元，比年初预算数减少63.97万元，下降12.60%，主要原因是原局属温州市公园管理处、温州市园林绿化养护大队两家单位划转到鹿城区综合行政执法局，相应经费同步划转。</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2.政府采购支出情况。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2018年度政府采购支出总额5699.23万元，其中：政府采购货物支出652.95万元、政府采购工程支出449.86万元、政府采购服务支出4596.47万元。授予中小企业合同金额5046.33万元，占政府采购支出总额的88.5%。其中，授予小微企业合同金额652.95万元，占政府采购支出总额的11.5%。</w:t>
      </w:r>
    </w:p>
    <w:p w:rsidR="006813DE" w:rsidRDefault="00015ACD">
      <w:pPr>
        <w:shd w:val="clear" w:color="auto" w:fill="FFFFFF"/>
        <w:spacing w:line="600" w:lineRule="atLeast"/>
        <w:ind w:firstLine="640"/>
        <w:jc w:val="both"/>
      </w:pPr>
      <w:r>
        <w:rPr>
          <w:rStyle w:val="a6"/>
          <w:rFonts w:ascii="仿宋" w:eastAsia="仿宋" w:hAnsi="仿宋" w:cs="Arial" w:hint="eastAsia"/>
          <w:sz w:val="32"/>
          <w:szCs w:val="32"/>
        </w:rPr>
        <w:t>3.国有资产占有使用情况。</w:t>
      </w:r>
    </w:p>
    <w:p w:rsidR="006813DE" w:rsidRDefault="00015ACD">
      <w:pPr>
        <w:shd w:val="clear" w:color="auto" w:fill="FFFFFF"/>
        <w:spacing w:line="600" w:lineRule="atLeast"/>
        <w:ind w:firstLine="640"/>
        <w:jc w:val="both"/>
      </w:pPr>
      <w:r>
        <w:rPr>
          <w:rFonts w:ascii="仿宋" w:eastAsia="仿宋" w:hAnsi="仿宋" w:cs="Arial" w:hint="eastAsia"/>
          <w:sz w:val="32"/>
          <w:szCs w:val="32"/>
        </w:rPr>
        <w:t>截至2018年12月31日，温州市综合行政执法局本级及所属各单位共有车辆60辆，其中，副部（省）级及以上领导用车0辆、主要领导干部用车0辆、机要通信用车0</w:t>
      </w:r>
      <w:r>
        <w:rPr>
          <w:rFonts w:ascii="仿宋" w:eastAsia="仿宋" w:hAnsi="仿宋" w:cs="Arial" w:hint="eastAsia"/>
          <w:sz w:val="32"/>
          <w:szCs w:val="32"/>
        </w:rPr>
        <w:lastRenderedPageBreak/>
        <w:t xml:space="preserve">辆、应急保障用车2辆、执法执勤用车0辆、特种专业技术用车14辆、离退休干部用车0辆、其他用车44辆,其他用车主要是用于温州市综合行政执法局本级及所属事业单位公务用车。单价50万元以上通用设备1台（套），单价100万元以上专用设备0台（套）。 </w:t>
      </w:r>
    </w:p>
    <w:p w:rsidR="006813DE" w:rsidRDefault="00015ACD">
      <w:pPr>
        <w:shd w:val="clear" w:color="auto" w:fill="FFFFFF"/>
        <w:spacing w:line="600" w:lineRule="atLeast"/>
        <w:ind w:firstLine="640"/>
        <w:jc w:val="both"/>
      </w:pPr>
      <w:bookmarkStart w:id="2" w:name="_GoBack"/>
      <w:r>
        <w:rPr>
          <w:rStyle w:val="a6"/>
          <w:rFonts w:ascii="黑体" w:eastAsia="黑体" w:hAnsi="黑体" w:cs="Arial" w:hint="eastAsia"/>
          <w:b w:val="0"/>
          <w:bCs w:val="0"/>
          <w:sz w:val="32"/>
          <w:szCs w:val="32"/>
        </w:rPr>
        <w:t>四、名词解释</w:t>
      </w:r>
    </w:p>
    <w:bookmarkEnd w:id="2"/>
    <w:p w:rsidR="006813DE" w:rsidRDefault="00015ACD">
      <w:pPr>
        <w:shd w:val="clear" w:color="auto" w:fill="FFFFFF"/>
        <w:spacing w:line="600" w:lineRule="atLeast"/>
        <w:ind w:firstLine="640"/>
        <w:jc w:val="both"/>
      </w:pPr>
      <w:r>
        <w:rPr>
          <w:rFonts w:ascii="仿宋" w:eastAsia="仿宋" w:hAnsi="仿宋" w:cs="Arial" w:hint="eastAsia"/>
          <w:sz w:val="32"/>
          <w:szCs w:val="32"/>
        </w:rPr>
        <w:t>1.财政拨款收入：指本级财政部门当年拨付的财政预算资金，包括一般公共预算财政拨款和政府性基金预算财政拨款。</w:t>
      </w:r>
    </w:p>
    <w:p w:rsidR="006813DE" w:rsidRDefault="00015ACD">
      <w:pPr>
        <w:shd w:val="clear" w:color="auto" w:fill="FFFFFF"/>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6813DE" w:rsidRDefault="00015ACD">
      <w:pPr>
        <w:shd w:val="clear" w:color="auto" w:fill="FFFFFF"/>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6813DE" w:rsidRDefault="00015ACD">
      <w:pPr>
        <w:shd w:val="clear" w:color="auto" w:fill="FFFFFF"/>
        <w:spacing w:line="600" w:lineRule="atLeast"/>
        <w:ind w:firstLine="640"/>
        <w:jc w:val="both"/>
      </w:pPr>
      <w:r>
        <w:rPr>
          <w:rFonts w:ascii="仿宋" w:eastAsia="仿宋" w:hAnsi="仿宋" w:cs="Arial" w:hint="eastAsia"/>
          <w:sz w:val="32"/>
          <w:szCs w:val="32"/>
        </w:rPr>
        <w:t>4.其他收入：指预算单位在“财政拨款”、“事业收入”、“经营收入”、“上级补助收入”、“附属单位上缴收入”等之外取得的各项收入。</w:t>
      </w:r>
    </w:p>
    <w:p w:rsidR="006813DE" w:rsidRDefault="00015ACD">
      <w:pPr>
        <w:shd w:val="clear" w:color="auto" w:fill="FFFFFF"/>
        <w:spacing w:line="600" w:lineRule="atLeast"/>
        <w:ind w:firstLine="640"/>
        <w:jc w:val="both"/>
      </w:pPr>
      <w:r>
        <w:rPr>
          <w:rFonts w:ascii="仿宋" w:eastAsia="仿宋" w:hAnsi="仿宋"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6813DE" w:rsidRDefault="00015ACD">
      <w:pPr>
        <w:shd w:val="clear" w:color="auto" w:fill="FFFFFF"/>
        <w:spacing w:line="600" w:lineRule="atLeast"/>
        <w:ind w:firstLine="640"/>
        <w:jc w:val="both"/>
      </w:pPr>
      <w:r>
        <w:rPr>
          <w:rFonts w:ascii="仿宋" w:eastAsia="仿宋" w:hAnsi="仿宋" w:cs="Arial" w:hint="eastAsia"/>
          <w:sz w:val="32"/>
          <w:szCs w:val="32"/>
        </w:rPr>
        <w:t>6.年初结转和结余：指预算单位以前年度尚未完成、结转到本年仍按原规定用途继续使用的资金。</w:t>
      </w:r>
    </w:p>
    <w:p w:rsidR="006813DE" w:rsidRDefault="00015ACD">
      <w:pPr>
        <w:shd w:val="clear" w:color="auto" w:fill="FFFFFF"/>
        <w:spacing w:line="600" w:lineRule="atLeast"/>
        <w:ind w:firstLine="640"/>
        <w:jc w:val="both"/>
      </w:pPr>
      <w:r>
        <w:rPr>
          <w:rFonts w:ascii="仿宋" w:eastAsia="仿宋" w:hAnsi="仿宋" w:cs="Arial" w:hint="eastAsia"/>
          <w:sz w:val="32"/>
          <w:szCs w:val="32"/>
        </w:rPr>
        <w:lastRenderedPageBreak/>
        <w:t>7.年末结转和结余：指单位按有关规定结转到下年或以后年度继续使用的资金。</w:t>
      </w:r>
    </w:p>
    <w:p w:rsidR="006813DE" w:rsidRDefault="00015ACD">
      <w:pPr>
        <w:shd w:val="clear" w:color="auto" w:fill="FFFFFF"/>
        <w:spacing w:line="600" w:lineRule="atLeast"/>
        <w:ind w:firstLine="640"/>
        <w:jc w:val="both"/>
      </w:pPr>
      <w:r>
        <w:rPr>
          <w:rFonts w:ascii="仿宋" w:eastAsia="仿宋" w:hAnsi="仿宋" w:cs="Arial" w:hint="eastAsia"/>
          <w:sz w:val="32"/>
          <w:szCs w:val="32"/>
        </w:rPr>
        <w:t>8.基本支出：指预算单位为保障其正常运转，完成日常工作任务所发生的支出，包括人员经费支出和日常公用经费支出。</w:t>
      </w:r>
    </w:p>
    <w:p w:rsidR="006813DE" w:rsidRDefault="00015ACD">
      <w:pPr>
        <w:shd w:val="clear" w:color="auto" w:fill="FFFFFF"/>
        <w:spacing w:line="600" w:lineRule="atLeast"/>
        <w:ind w:firstLine="640"/>
        <w:jc w:val="both"/>
      </w:pPr>
      <w:r>
        <w:rPr>
          <w:rFonts w:ascii="仿宋" w:eastAsia="仿宋" w:hAnsi="仿宋" w:cs="Arial" w:hint="eastAsia"/>
          <w:sz w:val="32"/>
          <w:szCs w:val="32"/>
        </w:rPr>
        <w:t>9.项目支出：指预算单位为完成其特定的行政工作任务或事业发展目标所发生的支出。</w:t>
      </w:r>
    </w:p>
    <w:p w:rsidR="006813DE" w:rsidRDefault="00015ACD">
      <w:pPr>
        <w:shd w:val="clear" w:color="auto" w:fill="FFFFFF"/>
        <w:spacing w:line="600" w:lineRule="atLeast"/>
        <w:ind w:firstLine="640"/>
        <w:jc w:val="both"/>
      </w:pPr>
      <w:r>
        <w:rPr>
          <w:rFonts w:ascii="仿宋" w:eastAsia="仿宋" w:hAnsi="仿宋" w:cs="Arial" w:hint="eastAsia"/>
          <w:sz w:val="32"/>
          <w:szCs w:val="32"/>
        </w:rPr>
        <w:t>10.经营支出：指事业单位在专业业务活动及其辅助活动之外开展非独立核算经营活动发生的支出。</w:t>
      </w:r>
    </w:p>
    <w:p w:rsidR="006813DE" w:rsidRDefault="00015ACD">
      <w:pPr>
        <w:shd w:val="clear" w:color="auto" w:fill="FFFFFF"/>
        <w:spacing w:line="600" w:lineRule="atLeast"/>
        <w:ind w:firstLine="640"/>
        <w:jc w:val="both"/>
      </w:pPr>
      <w:r>
        <w:rPr>
          <w:rFonts w:ascii="仿宋" w:eastAsia="仿宋" w:hAnsi="仿宋" w:cs="Arial"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6813DE" w:rsidRDefault="00015ACD">
      <w:pPr>
        <w:shd w:val="clear" w:color="auto" w:fill="FFFFFF"/>
        <w:spacing w:line="600" w:lineRule="atLeast"/>
        <w:ind w:firstLine="640"/>
        <w:jc w:val="both"/>
      </w:pPr>
      <w:r>
        <w:rPr>
          <w:rFonts w:ascii="仿宋" w:eastAsia="仿宋" w:hAnsi="仿宋" w:cs="Arial" w:hint="eastAsia"/>
          <w:sz w:val="32"/>
          <w:szCs w:val="32"/>
        </w:rPr>
        <w:t>12.机关运行经费：指为保障行政单位（含参照公务员法管理的事业单位）运行用于购买货物和服务的各项资金，包括办公及印刷费、邮电费、差旅费、会议费、福利费、</w:t>
      </w:r>
      <w:r>
        <w:rPr>
          <w:rFonts w:ascii="仿宋" w:eastAsia="仿宋" w:hAnsi="仿宋" w:cs="Arial" w:hint="eastAsia"/>
          <w:sz w:val="32"/>
          <w:szCs w:val="32"/>
        </w:rPr>
        <w:lastRenderedPageBreak/>
        <w:t>日常维修费、专用材料及一般设备购置费、办公用房水电费、办公用房取暖费、办公用房物业管理费、公务用车运行维护费以及其他费用。</w:t>
      </w:r>
    </w:p>
    <w:sectPr w:rsidR="006813DE" w:rsidSect="006813DE">
      <w:footerReference w:type="default" r:id="rId9"/>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9C" w:rsidRDefault="00322A9C" w:rsidP="006813DE">
      <w:r>
        <w:separator/>
      </w:r>
    </w:p>
  </w:endnote>
  <w:endnote w:type="continuationSeparator" w:id="0">
    <w:p w:rsidR="00322A9C" w:rsidRDefault="00322A9C" w:rsidP="00681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5984"/>
      <w:docPartObj>
        <w:docPartGallery w:val="AutoText"/>
      </w:docPartObj>
    </w:sdtPr>
    <w:sdtContent>
      <w:p w:rsidR="0055651F" w:rsidRDefault="0094678E">
        <w:pPr>
          <w:pStyle w:val="a3"/>
          <w:jc w:val="center"/>
        </w:pPr>
        <w:r w:rsidRPr="0094678E">
          <w:fldChar w:fldCharType="begin"/>
        </w:r>
        <w:r w:rsidR="0055651F">
          <w:instrText xml:space="preserve"> PAGE   \* MERGEFORMAT </w:instrText>
        </w:r>
        <w:r w:rsidRPr="0094678E">
          <w:fldChar w:fldCharType="separate"/>
        </w:r>
        <w:r w:rsidR="00BB74BD" w:rsidRPr="00BB74BD">
          <w:rPr>
            <w:noProof/>
            <w:lang w:val="zh-CN"/>
          </w:rPr>
          <w:t>31</w:t>
        </w:r>
        <w:r>
          <w:rPr>
            <w:lang w:val="zh-CN"/>
          </w:rPr>
          <w:fldChar w:fldCharType="end"/>
        </w:r>
      </w:p>
    </w:sdtContent>
  </w:sdt>
  <w:p w:rsidR="0055651F" w:rsidRDefault="005565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9C" w:rsidRDefault="00322A9C" w:rsidP="006813DE">
      <w:r>
        <w:separator/>
      </w:r>
    </w:p>
  </w:footnote>
  <w:footnote w:type="continuationSeparator" w:id="0">
    <w:p w:rsidR="00322A9C" w:rsidRDefault="00322A9C" w:rsidP="00681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E457A"/>
    <w:multiLevelType w:val="multilevel"/>
    <w:tmpl w:val="55BE457A"/>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79B7368A"/>
    <w:multiLevelType w:val="multilevel"/>
    <w:tmpl w:val="79B7368A"/>
    <w:lvl w:ilvl="0">
      <w:start w:val="9"/>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AF22BD"/>
    <w:rsid w:val="00015ACD"/>
    <w:rsid w:val="0004728F"/>
    <w:rsid w:val="00057925"/>
    <w:rsid w:val="00094E11"/>
    <w:rsid w:val="000D49AB"/>
    <w:rsid w:val="001764DF"/>
    <w:rsid w:val="001E7B81"/>
    <w:rsid w:val="00232E8F"/>
    <w:rsid w:val="00245E04"/>
    <w:rsid w:val="00247EF2"/>
    <w:rsid w:val="00255F62"/>
    <w:rsid w:val="002D07AE"/>
    <w:rsid w:val="002E1DA9"/>
    <w:rsid w:val="002E6DC2"/>
    <w:rsid w:val="00322A9C"/>
    <w:rsid w:val="0035058F"/>
    <w:rsid w:val="003E7B29"/>
    <w:rsid w:val="00421D48"/>
    <w:rsid w:val="00436259"/>
    <w:rsid w:val="00471CAB"/>
    <w:rsid w:val="004A6C5A"/>
    <w:rsid w:val="004C1ECE"/>
    <w:rsid w:val="004E76E2"/>
    <w:rsid w:val="0051580A"/>
    <w:rsid w:val="00515A66"/>
    <w:rsid w:val="005378C0"/>
    <w:rsid w:val="0055651F"/>
    <w:rsid w:val="00564184"/>
    <w:rsid w:val="00572295"/>
    <w:rsid w:val="00580EAB"/>
    <w:rsid w:val="00586E23"/>
    <w:rsid w:val="00597654"/>
    <w:rsid w:val="005A36CB"/>
    <w:rsid w:val="005E42D7"/>
    <w:rsid w:val="00605FDD"/>
    <w:rsid w:val="006813DE"/>
    <w:rsid w:val="00682B92"/>
    <w:rsid w:val="00697E3B"/>
    <w:rsid w:val="006F3D3E"/>
    <w:rsid w:val="00714E4B"/>
    <w:rsid w:val="00725F91"/>
    <w:rsid w:val="007C2661"/>
    <w:rsid w:val="007C76DE"/>
    <w:rsid w:val="007D61F7"/>
    <w:rsid w:val="00806DC7"/>
    <w:rsid w:val="00815643"/>
    <w:rsid w:val="0088322B"/>
    <w:rsid w:val="008D3B7E"/>
    <w:rsid w:val="008D4C66"/>
    <w:rsid w:val="00945359"/>
    <w:rsid w:val="0094678E"/>
    <w:rsid w:val="00947D10"/>
    <w:rsid w:val="00962949"/>
    <w:rsid w:val="009F3D69"/>
    <w:rsid w:val="00A42ED9"/>
    <w:rsid w:val="00A71CED"/>
    <w:rsid w:val="00A80D73"/>
    <w:rsid w:val="00AF22BD"/>
    <w:rsid w:val="00B01721"/>
    <w:rsid w:val="00B154EA"/>
    <w:rsid w:val="00B54953"/>
    <w:rsid w:val="00B57F11"/>
    <w:rsid w:val="00BB74BD"/>
    <w:rsid w:val="00BD4B29"/>
    <w:rsid w:val="00BE68E0"/>
    <w:rsid w:val="00BF62CD"/>
    <w:rsid w:val="00C2036D"/>
    <w:rsid w:val="00C27CD5"/>
    <w:rsid w:val="00CD5267"/>
    <w:rsid w:val="00D050BA"/>
    <w:rsid w:val="00D5730A"/>
    <w:rsid w:val="00D67F1E"/>
    <w:rsid w:val="00D7129E"/>
    <w:rsid w:val="00D84A46"/>
    <w:rsid w:val="00E07606"/>
    <w:rsid w:val="00E77A61"/>
    <w:rsid w:val="00EA6ACD"/>
    <w:rsid w:val="00F055C4"/>
    <w:rsid w:val="00F465BE"/>
    <w:rsid w:val="00F5123D"/>
    <w:rsid w:val="00F51535"/>
    <w:rsid w:val="00F6258E"/>
    <w:rsid w:val="00F765A1"/>
    <w:rsid w:val="00F87DFB"/>
    <w:rsid w:val="1F3B5B8A"/>
    <w:rsid w:val="5DFA7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DE"/>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13DE"/>
    <w:pPr>
      <w:tabs>
        <w:tab w:val="center" w:pos="4153"/>
        <w:tab w:val="right" w:pos="8306"/>
      </w:tabs>
      <w:snapToGrid w:val="0"/>
    </w:pPr>
    <w:rPr>
      <w:sz w:val="18"/>
      <w:szCs w:val="18"/>
    </w:rPr>
  </w:style>
  <w:style w:type="paragraph" w:styleId="a4">
    <w:name w:val="header"/>
    <w:basedOn w:val="a"/>
    <w:link w:val="Char0"/>
    <w:uiPriority w:val="99"/>
    <w:semiHidden/>
    <w:unhideWhenUsed/>
    <w:rsid w:val="006813D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6813DE"/>
    <w:pPr>
      <w:spacing w:before="100" w:beforeAutospacing="1" w:after="100" w:afterAutospacing="1"/>
    </w:pPr>
  </w:style>
  <w:style w:type="character" w:styleId="a6">
    <w:name w:val="Strong"/>
    <w:basedOn w:val="a0"/>
    <w:uiPriority w:val="22"/>
    <w:qFormat/>
    <w:rsid w:val="006813DE"/>
    <w:rPr>
      <w:b/>
      <w:bCs/>
    </w:rPr>
  </w:style>
  <w:style w:type="character" w:customStyle="1" w:styleId="Char0">
    <w:name w:val="页眉 Char"/>
    <w:basedOn w:val="a0"/>
    <w:link w:val="a4"/>
    <w:uiPriority w:val="99"/>
    <w:semiHidden/>
    <w:qFormat/>
    <w:locked/>
    <w:rsid w:val="006813DE"/>
    <w:rPr>
      <w:rFonts w:ascii="宋体" w:eastAsia="宋体" w:hAnsi="宋体" w:cs="宋体" w:hint="eastAsia"/>
      <w:sz w:val="18"/>
      <w:szCs w:val="18"/>
    </w:rPr>
  </w:style>
  <w:style w:type="character" w:customStyle="1" w:styleId="Char">
    <w:name w:val="页脚 Char"/>
    <w:basedOn w:val="a0"/>
    <w:link w:val="a3"/>
    <w:uiPriority w:val="99"/>
    <w:qFormat/>
    <w:locked/>
    <w:rsid w:val="006813DE"/>
    <w:rPr>
      <w:rFonts w:ascii="宋体" w:eastAsia="宋体" w:hAnsi="宋体" w:cs="宋体" w:hint="eastAsia"/>
      <w:sz w:val="18"/>
      <w:szCs w:val="18"/>
    </w:rPr>
  </w:style>
  <w:style w:type="paragraph" w:styleId="a7">
    <w:name w:val="List Paragraph"/>
    <w:basedOn w:val="a"/>
    <w:uiPriority w:val="99"/>
    <w:unhideWhenUsed/>
    <w:rsid w:val="006813D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9DAD7-EBF4-4562-95DC-0EDAB6D0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31</Pages>
  <Words>3504</Words>
  <Characters>19974</Characters>
  <Application>Microsoft Office Word</Application>
  <DocSecurity>0</DocSecurity>
  <Lines>166</Lines>
  <Paragraphs>46</Paragraphs>
  <ScaleCrop>false</ScaleCrop>
  <Company>Microsoft</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18年公开文档</dc:title>
  <dc:creator>洪翔</dc:creator>
  <cp:lastModifiedBy>吴海玲</cp:lastModifiedBy>
  <cp:revision>10</cp:revision>
  <dcterms:created xsi:type="dcterms:W3CDTF">2019-11-11T08:35:00Z</dcterms:created>
  <dcterms:modified xsi:type="dcterms:W3CDTF">2019-11-12T06:37:00Z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